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9CA5D0" w14:textId="77777777" w:rsidR="00AC3657" w:rsidRDefault="00AC3657" w:rsidP="00ED2FF9">
      <w:pPr>
        <w:spacing w:before="28" w:line="360" w:lineRule="auto"/>
        <w:ind w:left="1" w:right="-40"/>
        <w:rPr>
          <w:rFonts w:ascii="Arial" w:hAnsi="Arial" w:cs="Arial"/>
          <w:sz w:val="24"/>
          <w:szCs w:val="24"/>
        </w:rPr>
      </w:pPr>
      <w:r w:rsidRPr="00CE5F74">
        <w:rPr>
          <w:rFonts w:ascii="Arial" w:hAnsi="Arial" w:cs="Arial"/>
          <w:b/>
          <w:bCs/>
          <w:color w:val="E52334"/>
          <w:sz w:val="32"/>
          <w:szCs w:val="32"/>
        </w:rPr>
        <w:t>Issued by National Institutes of</w:t>
      </w:r>
      <w:r w:rsidRPr="00F34750">
        <w:rPr>
          <w:rFonts w:ascii="Arial" w:hAnsi="Arial" w:cs="Arial"/>
          <w:b/>
          <w:bCs/>
          <w:color w:val="E52334"/>
          <w:sz w:val="24"/>
          <w:szCs w:val="24"/>
        </w:rPr>
        <w:t xml:space="preserve"> </w:t>
      </w:r>
      <w:r w:rsidRPr="00CE5F74">
        <w:rPr>
          <w:rFonts w:ascii="Arial" w:hAnsi="Arial" w:cs="Arial"/>
          <w:b/>
          <w:bCs/>
          <w:color w:val="E52334"/>
          <w:sz w:val="32"/>
          <w:szCs w:val="32"/>
        </w:rPr>
        <w:t>Health</w:t>
      </w:r>
      <w:r w:rsidRPr="00CE5F74">
        <w:rPr>
          <w:rFonts w:ascii="Arial" w:hAnsi="Arial" w:cs="Arial"/>
          <w:sz w:val="32"/>
          <w:szCs w:val="32"/>
        </w:rPr>
        <w:t xml:space="preserve"> </w:t>
      </w:r>
    </w:p>
    <w:p w14:paraId="46585B92" w14:textId="67DFDFE1" w:rsidR="0003092F" w:rsidRPr="00716859" w:rsidRDefault="0003092F" w:rsidP="00ED2FF9">
      <w:pPr>
        <w:spacing w:before="28" w:line="360" w:lineRule="auto"/>
        <w:ind w:left="1" w:right="-40"/>
        <w:rPr>
          <w:rFonts w:ascii="Arial" w:hAnsi="Arial" w:cs="Arial"/>
          <w:b/>
          <w:bCs/>
          <w:color w:val="00355D"/>
          <w:sz w:val="24"/>
          <w:szCs w:val="24"/>
        </w:rPr>
      </w:pPr>
      <w:r w:rsidRPr="00716859">
        <w:rPr>
          <w:rFonts w:ascii="Arial" w:hAnsi="Arial" w:cs="Arial"/>
          <w:b/>
          <w:bCs/>
          <w:color w:val="00355D"/>
          <w:sz w:val="24"/>
          <w:szCs w:val="24"/>
        </w:rPr>
        <w:t xml:space="preserve">National Institutes of Health (NIH) </w:t>
      </w:r>
      <w:r w:rsidR="007D4193" w:rsidRPr="00716859">
        <w:rPr>
          <w:rFonts w:ascii="Arial" w:hAnsi="Arial" w:cs="Arial"/>
          <w:b/>
          <w:bCs/>
          <w:color w:val="00355D"/>
          <w:sz w:val="24"/>
          <w:szCs w:val="24"/>
        </w:rPr>
        <w:t>Guidance on Salary Limitation for Grants and Cooperative</w:t>
      </w:r>
      <w:r w:rsidR="007D4193" w:rsidRPr="00716859">
        <w:rPr>
          <w:rFonts w:ascii="Arial" w:hAnsi="Arial" w:cs="Arial"/>
          <w:b/>
          <w:bCs/>
          <w:color w:val="00355D"/>
          <w:spacing w:val="-15"/>
          <w:sz w:val="24"/>
          <w:szCs w:val="24"/>
        </w:rPr>
        <w:t xml:space="preserve"> </w:t>
      </w:r>
      <w:r w:rsidR="007D4193" w:rsidRPr="00716859">
        <w:rPr>
          <w:rFonts w:ascii="Arial" w:hAnsi="Arial" w:cs="Arial"/>
          <w:b/>
          <w:bCs/>
          <w:color w:val="00355D"/>
          <w:sz w:val="24"/>
          <w:szCs w:val="24"/>
        </w:rPr>
        <w:t>Agreements F</w:t>
      </w:r>
      <w:r w:rsidR="0009648C" w:rsidRPr="00716859">
        <w:rPr>
          <w:rFonts w:ascii="Arial" w:hAnsi="Arial" w:cs="Arial"/>
          <w:b/>
          <w:bCs/>
          <w:color w:val="00355D"/>
          <w:spacing w:val="-10"/>
          <w:sz w:val="24"/>
          <w:szCs w:val="24"/>
        </w:rPr>
        <w:t xml:space="preserve">iscal Year </w:t>
      </w:r>
      <w:r w:rsidR="007D4193" w:rsidRPr="00716859">
        <w:rPr>
          <w:rFonts w:ascii="Arial" w:hAnsi="Arial" w:cs="Arial"/>
          <w:b/>
          <w:bCs/>
          <w:color w:val="00355D"/>
          <w:sz w:val="24"/>
          <w:szCs w:val="24"/>
        </w:rPr>
        <w:t xml:space="preserve">2025 </w:t>
      </w:r>
      <w:r w:rsidR="007D4193" w:rsidRPr="00716859">
        <w:rPr>
          <w:rFonts w:ascii="Arial" w:hAnsi="Arial" w:cs="Arial"/>
          <w:b/>
          <w:bCs/>
          <w:color w:val="00355D"/>
          <w:sz w:val="24"/>
          <w:szCs w:val="24"/>
        </w:rPr>
        <w:br w:type="textWrapping" w:clear="all"/>
      </w:r>
    </w:p>
    <w:p w14:paraId="3B7D3E80" w14:textId="0C535A0B" w:rsidR="00EE2F8A" w:rsidRPr="0003092F" w:rsidRDefault="007D4193" w:rsidP="00ED2FF9">
      <w:pPr>
        <w:spacing w:before="28" w:line="360" w:lineRule="auto"/>
        <w:ind w:left="1" w:right="-40"/>
        <w:rPr>
          <w:rFonts w:ascii="Arial" w:hAnsi="Arial" w:cs="Arial"/>
          <w:color w:val="010302"/>
          <w:sz w:val="24"/>
          <w:szCs w:val="24"/>
        </w:rPr>
      </w:pPr>
      <w:r w:rsidRPr="0003092F">
        <w:rPr>
          <w:rFonts w:ascii="Arial" w:hAnsi="Arial" w:cs="Arial"/>
          <w:color w:val="000000"/>
          <w:sz w:val="24"/>
          <w:szCs w:val="24"/>
        </w:rPr>
        <w:t>Notice Number:</w:t>
      </w:r>
      <w:r w:rsidRPr="0003092F">
        <w:rPr>
          <w:rFonts w:ascii="Arial" w:hAnsi="Arial" w:cs="Arial"/>
          <w:sz w:val="24"/>
          <w:szCs w:val="24"/>
        </w:rPr>
        <w:t xml:space="preserve"> </w:t>
      </w:r>
      <w:r w:rsidRPr="0003092F">
        <w:rPr>
          <w:rFonts w:ascii="Arial" w:hAnsi="Arial" w:cs="Arial"/>
          <w:color w:val="000000"/>
          <w:sz w:val="24"/>
          <w:szCs w:val="24"/>
        </w:rPr>
        <w:t>N</w:t>
      </w:r>
      <w:r w:rsidR="00DB02F2">
        <w:rPr>
          <w:rFonts w:ascii="Arial" w:hAnsi="Arial" w:cs="Arial"/>
          <w:color w:val="000000"/>
          <w:sz w:val="24"/>
          <w:szCs w:val="24"/>
        </w:rPr>
        <w:t>-O-</w:t>
      </w:r>
      <w:r w:rsidRPr="0003092F">
        <w:rPr>
          <w:rFonts w:ascii="Arial" w:hAnsi="Arial" w:cs="Arial"/>
          <w:color w:val="000000"/>
          <w:spacing w:val="-25"/>
          <w:sz w:val="24"/>
          <w:szCs w:val="24"/>
        </w:rPr>
        <w:t>T</w:t>
      </w:r>
      <w:r w:rsidRPr="0003092F">
        <w:rPr>
          <w:rFonts w:ascii="Arial" w:hAnsi="Arial" w:cs="Arial"/>
          <w:color w:val="000000"/>
          <w:sz w:val="24"/>
          <w:szCs w:val="24"/>
        </w:rPr>
        <w:t>-OD-25-085</w:t>
      </w:r>
      <w:r w:rsidRPr="0003092F">
        <w:rPr>
          <w:rFonts w:ascii="Arial" w:hAnsi="Arial" w:cs="Arial"/>
          <w:sz w:val="24"/>
          <w:szCs w:val="24"/>
        </w:rPr>
        <w:t xml:space="preserve"> </w:t>
      </w:r>
    </w:p>
    <w:p w14:paraId="62BC5C0E" w14:textId="64EF7283" w:rsidR="0003092F" w:rsidRPr="00716859" w:rsidRDefault="007D4193" w:rsidP="0003092F">
      <w:pPr>
        <w:spacing w:before="240" w:line="360" w:lineRule="auto"/>
        <w:ind w:left="1"/>
        <w:rPr>
          <w:rFonts w:ascii="Arial" w:hAnsi="Arial" w:cs="Arial"/>
          <w:b/>
          <w:bCs/>
          <w:color w:val="00355D"/>
          <w:sz w:val="24"/>
          <w:szCs w:val="24"/>
        </w:rPr>
      </w:pPr>
      <w:r w:rsidRPr="00716859">
        <w:rPr>
          <w:rFonts w:ascii="Arial" w:hAnsi="Arial" w:cs="Arial"/>
          <w:b/>
          <w:bCs/>
          <w:color w:val="00355D"/>
          <w:sz w:val="24"/>
          <w:szCs w:val="24"/>
        </w:rPr>
        <w:t xml:space="preserve">Key Dates </w:t>
      </w:r>
    </w:p>
    <w:p w14:paraId="2281AE61" w14:textId="6F2476D3" w:rsidR="00EE2F8A" w:rsidRPr="0003092F" w:rsidRDefault="007D4193" w:rsidP="0003092F">
      <w:pPr>
        <w:spacing w:line="360" w:lineRule="auto"/>
        <w:ind w:left="1" w:right="-40"/>
        <w:rPr>
          <w:rFonts w:ascii="Arial" w:hAnsi="Arial" w:cs="Arial"/>
          <w:sz w:val="24"/>
          <w:szCs w:val="24"/>
        </w:rPr>
      </w:pPr>
      <w:r w:rsidRPr="00ED2FF9">
        <w:rPr>
          <w:rFonts w:ascii="Arial" w:hAnsi="Arial" w:cs="Arial"/>
          <w:color w:val="000000"/>
          <w:sz w:val="24"/>
          <w:szCs w:val="24"/>
        </w:rPr>
        <w:t>Release Date:</w:t>
      </w:r>
      <w:r w:rsidRPr="00ED2FF9">
        <w:rPr>
          <w:rFonts w:ascii="Arial" w:hAnsi="Arial" w:cs="Arial"/>
          <w:sz w:val="24"/>
          <w:szCs w:val="24"/>
        </w:rPr>
        <w:t xml:space="preserve"> </w:t>
      </w:r>
      <w:r w:rsidRPr="00ED2FF9">
        <w:rPr>
          <w:rFonts w:ascii="Arial" w:hAnsi="Arial" w:cs="Arial"/>
          <w:color w:val="000000"/>
          <w:sz w:val="24"/>
          <w:szCs w:val="24"/>
        </w:rPr>
        <w:t>April 3, 2025</w:t>
      </w:r>
      <w:r w:rsidRPr="00ED2FF9">
        <w:rPr>
          <w:rFonts w:ascii="Arial" w:hAnsi="Arial" w:cs="Arial"/>
          <w:sz w:val="24"/>
          <w:szCs w:val="24"/>
        </w:rPr>
        <w:t xml:space="preserve"> </w:t>
      </w:r>
      <w:r w:rsidRPr="00ED2FF9">
        <w:rPr>
          <w:rFonts w:ascii="Arial" w:hAnsi="Arial" w:cs="Arial"/>
          <w:sz w:val="24"/>
          <w:szCs w:val="24"/>
        </w:rPr>
        <w:br w:type="textWrapping" w:clear="all"/>
      </w:r>
      <w:r w:rsidRPr="00ED2FF9">
        <w:rPr>
          <w:rFonts w:ascii="Arial" w:hAnsi="Arial" w:cs="Arial"/>
          <w:color w:val="000000"/>
          <w:sz w:val="24"/>
          <w:szCs w:val="24"/>
        </w:rPr>
        <w:t>Related</w:t>
      </w:r>
      <w:r w:rsidRPr="00ED2FF9">
        <w:rPr>
          <w:rFonts w:ascii="Arial" w:hAnsi="Arial" w:cs="Arial"/>
          <w:color w:val="000000"/>
          <w:spacing w:val="-23"/>
          <w:sz w:val="24"/>
          <w:szCs w:val="24"/>
        </w:rPr>
        <w:t xml:space="preserve"> </w:t>
      </w:r>
      <w:r w:rsidRPr="00ED2FF9">
        <w:rPr>
          <w:rFonts w:ascii="Arial" w:hAnsi="Arial" w:cs="Arial"/>
          <w:color w:val="000000"/>
          <w:sz w:val="24"/>
          <w:szCs w:val="24"/>
        </w:rPr>
        <w:t>Announcements</w:t>
      </w:r>
      <w:r w:rsidRPr="00ED2FF9">
        <w:rPr>
          <w:rFonts w:ascii="Arial" w:hAnsi="Arial" w:cs="Arial"/>
          <w:sz w:val="24"/>
          <w:szCs w:val="24"/>
        </w:rPr>
        <w:t xml:space="preserve"> </w:t>
      </w:r>
    </w:p>
    <w:p w14:paraId="111BC4EE" w14:textId="2D2A950A" w:rsidR="00716859" w:rsidRPr="00716859" w:rsidRDefault="007D4193" w:rsidP="00716859">
      <w:pPr>
        <w:pStyle w:val="ListParagraph"/>
        <w:numPr>
          <w:ilvl w:val="0"/>
          <w:numId w:val="1"/>
        </w:numPr>
        <w:spacing w:before="277" w:line="360" w:lineRule="auto"/>
        <w:ind w:right="-40"/>
        <w:rPr>
          <w:rFonts w:ascii="Arial" w:hAnsi="Arial" w:cs="Arial"/>
          <w:color w:val="010302"/>
          <w:sz w:val="24"/>
          <w:szCs w:val="24"/>
        </w:rPr>
      </w:pPr>
      <w:r w:rsidRPr="00ED2FF9">
        <w:rPr>
          <w:rFonts w:ascii="Arial" w:hAnsi="Arial" w:cs="Arial"/>
          <w:color w:val="000000"/>
          <w:sz w:val="24"/>
          <w:szCs w:val="24"/>
        </w:rPr>
        <w:t xml:space="preserve">January 10, 2025 - NIH Operates Under a Continuing Resolution. </w:t>
      </w:r>
      <w:r w:rsidR="00ED2FF9" w:rsidRPr="00ED2FF9">
        <w:rPr>
          <w:rFonts w:ascii="Arial" w:hAnsi="Arial" w:cs="Arial"/>
          <w:color w:val="000000"/>
          <w:sz w:val="24"/>
          <w:szCs w:val="24"/>
        </w:rPr>
        <w:t xml:space="preserve">See Notice </w:t>
      </w:r>
      <w:r w:rsidR="00716859">
        <w:rPr>
          <w:rFonts w:ascii="Arial" w:hAnsi="Arial" w:cs="Arial"/>
          <w:color w:val="000000"/>
          <w:sz w:val="24"/>
          <w:szCs w:val="24"/>
        </w:rPr>
        <w:br/>
      </w:r>
      <w:hyperlink r:id="rId5" w:history="1">
        <w:r w:rsidR="00ED2FF9" w:rsidRPr="00CE22C0">
          <w:rPr>
            <w:rStyle w:val="Hyperlink"/>
            <w:rFonts w:ascii="Arial" w:hAnsi="Arial" w:cs="Arial"/>
            <w:color w:val="1F6FB1"/>
            <w:sz w:val="24"/>
            <w:szCs w:val="24"/>
            <w:u w:val="none"/>
          </w:rPr>
          <w:t>N</w:t>
        </w:r>
        <w:r w:rsidR="00DB02F2">
          <w:rPr>
            <w:rStyle w:val="Hyperlink"/>
            <w:rFonts w:ascii="Arial" w:hAnsi="Arial" w:cs="Arial"/>
            <w:color w:val="1F6FB1"/>
            <w:sz w:val="24"/>
            <w:szCs w:val="24"/>
            <w:u w:val="none"/>
          </w:rPr>
          <w:t>-O-</w:t>
        </w:r>
        <w:r w:rsidR="00ED2FF9" w:rsidRPr="00CE22C0">
          <w:rPr>
            <w:rStyle w:val="Hyperlink"/>
            <w:rFonts w:ascii="Arial" w:hAnsi="Arial" w:cs="Arial"/>
            <w:color w:val="1F6FB1"/>
            <w:sz w:val="24"/>
            <w:szCs w:val="24"/>
            <w:u w:val="none"/>
          </w:rPr>
          <w:t>T-OD-25-054</w:t>
        </w:r>
      </w:hyperlink>
      <w:r w:rsidR="00ED2FF9" w:rsidRPr="00ED2FF9">
        <w:rPr>
          <w:rFonts w:ascii="Arial" w:hAnsi="Arial" w:cs="Arial"/>
          <w:color w:val="000000"/>
          <w:sz w:val="24"/>
          <w:szCs w:val="24"/>
        </w:rPr>
        <w:t xml:space="preserve">  </w:t>
      </w:r>
    </w:p>
    <w:p w14:paraId="0AA6E3A6" w14:textId="3D572D86" w:rsidR="00716859" w:rsidRPr="00716859" w:rsidRDefault="007D4193" w:rsidP="00716859">
      <w:pPr>
        <w:pStyle w:val="ListParagraph"/>
        <w:numPr>
          <w:ilvl w:val="0"/>
          <w:numId w:val="1"/>
        </w:numPr>
        <w:spacing w:before="277" w:line="360" w:lineRule="auto"/>
        <w:ind w:right="-40"/>
        <w:rPr>
          <w:rFonts w:ascii="Arial" w:hAnsi="Arial" w:cs="Arial"/>
          <w:color w:val="010302"/>
          <w:sz w:val="24"/>
          <w:szCs w:val="24"/>
        </w:rPr>
      </w:pPr>
      <w:r w:rsidRPr="00716859">
        <w:rPr>
          <w:rFonts w:ascii="Arial" w:hAnsi="Arial" w:cs="Arial"/>
          <w:color w:val="000000"/>
          <w:sz w:val="24"/>
          <w:szCs w:val="24"/>
        </w:rPr>
        <w:t>Novembe</w:t>
      </w:r>
      <w:r w:rsidRPr="00716859">
        <w:rPr>
          <w:rFonts w:ascii="Arial" w:hAnsi="Arial" w:cs="Arial"/>
          <w:color w:val="000000"/>
          <w:spacing w:val="-5"/>
          <w:sz w:val="24"/>
          <w:szCs w:val="24"/>
        </w:rPr>
        <w:t>r</w:t>
      </w:r>
      <w:r w:rsidRPr="00716859">
        <w:rPr>
          <w:rFonts w:ascii="Arial" w:hAnsi="Arial" w:cs="Arial"/>
          <w:color w:val="000000"/>
          <w:sz w:val="24"/>
          <w:szCs w:val="24"/>
        </w:rPr>
        <w:t xml:space="preserve"> 14, 2024 - Updated Guidance on Salary Limitation for Grants and Cooperative</w:t>
      </w:r>
      <w:r w:rsidRPr="00716859">
        <w:rPr>
          <w:rFonts w:ascii="Arial" w:hAnsi="Arial" w:cs="Arial"/>
          <w:color w:val="000000"/>
          <w:spacing w:val="-15"/>
          <w:sz w:val="24"/>
          <w:szCs w:val="24"/>
        </w:rPr>
        <w:t xml:space="preserve"> </w:t>
      </w:r>
      <w:r w:rsidRPr="00716859">
        <w:rPr>
          <w:rFonts w:ascii="Arial" w:hAnsi="Arial" w:cs="Arial"/>
          <w:color w:val="000000"/>
          <w:sz w:val="24"/>
          <w:szCs w:val="24"/>
        </w:rPr>
        <w:t>Agreements.</w:t>
      </w:r>
      <w:r w:rsidRPr="00716859">
        <w:rPr>
          <w:rFonts w:ascii="Arial" w:hAnsi="Arial" w:cs="Arial"/>
          <w:sz w:val="24"/>
          <w:szCs w:val="24"/>
        </w:rPr>
        <w:t xml:space="preserve"> </w:t>
      </w:r>
      <w:r w:rsidRPr="00716859">
        <w:rPr>
          <w:rFonts w:ascii="Arial" w:hAnsi="Arial" w:cs="Arial"/>
          <w:color w:val="000000"/>
          <w:sz w:val="24"/>
          <w:szCs w:val="24"/>
        </w:rPr>
        <w:t xml:space="preserve">See Notice </w:t>
      </w:r>
      <w:hyperlink r:id="rId6" w:history="1">
        <w:r w:rsidRPr="00716859">
          <w:rPr>
            <w:rFonts w:ascii="Arial" w:hAnsi="Arial" w:cs="Arial"/>
            <w:color w:val="1F6FB1"/>
            <w:sz w:val="24"/>
            <w:szCs w:val="24"/>
          </w:rPr>
          <w:t>N</w:t>
        </w:r>
        <w:r w:rsidR="00DB02F2">
          <w:rPr>
            <w:rFonts w:ascii="Arial" w:hAnsi="Arial" w:cs="Arial"/>
            <w:color w:val="1F6FB1"/>
            <w:sz w:val="24"/>
            <w:szCs w:val="24"/>
          </w:rPr>
          <w:t>-O-</w:t>
        </w:r>
        <w:r w:rsidRPr="00716859">
          <w:rPr>
            <w:rFonts w:ascii="Arial" w:hAnsi="Arial" w:cs="Arial"/>
            <w:color w:val="1F6FB1"/>
            <w:spacing w:val="-25"/>
            <w:sz w:val="24"/>
            <w:szCs w:val="24"/>
          </w:rPr>
          <w:t>T</w:t>
        </w:r>
        <w:r w:rsidRPr="00716859">
          <w:rPr>
            <w:rFonts w:ascii="Arial" w:hAnsi="Arial" w:cs="Arial"/>
            <w:color w:val="1F6FB1"/>
            <w:sz w:val="24"/>
            <w:szCs w:val="24"/>
          </w:rPr>
          <w:t>-OD-25-025</w:t>
        </w:r>
      </w:hyperlink>
      <w:r w:rsidRPr="00716859">
        <w:rPr>
          <w:rFonts w:ascii="Arial" w:hAnsi="Arial" w:cs="Arial"/>
          <w:sz w:val="24"/>
          <w:szCs w:val="24"/>
        </w:rPr>
        <w:t xml:space="preserve"> </w:t>
      </w:r>
    </w:p>
    <w:p w14:paraId="3AC95828" w14:textId="0BE02CA9" w:rsidR="00716859" w:rsidRPr="00716859" w:rsidRDefault="007D4193" w:rsidP="00716859">
      <w:pPr>
        <w:pStyle w:val="ListParagraph"/>
        <w:numPr>
          <w:ilvl w:val="0"/>
          <w:numId w:val="1"/>
        </w:numPr>
        <w:spacing w:before="277" w:line="360" w:lineRule="auto"/>
        <w:ind w:right="-40"/>
        <w:rPr>
          <w:rFonts w:ascii="Arial" w:hAnsi="Arial" w:cs="Arial"/>
          <w:color w:val="010302"/>
          <w:sz w:val="24"/>
          <w:szCs w:val="24"/>
        </w:rPr>
      </w:pPr>
      <w:r w:rsidRPr="00716859">
        <w:rPr>
          <w:rFonts w:ascii="Arial" w:hAnsi="Arial" w:cs="Arial"/>
          <w:color w:val="000000"/>
          <w:sz w:val="24"/>
          <w:szCs w:val="24"/>
        </w:rPr>
        <w:t>Octobe</w:t>
      </w:r>
      <w:r w:rsidRPr="00716859">
        <w:rPr>
          <w:rFonts w:ascii="Arial" w:hAnsi="Arial" w:cs="Arial"/>
          <w:color w:val="000000"/>
          <w:spacing w:val="-5"/>
          <w:sz w:val="24"/>
          <w:szCs w:val="24"/>
        </w:rPr>
        <w:t>r</w:t>
      </w:r>
      <w:r w:rsidRPr="00716859">
        <w:rPr>
          <w:rFonts w:ascii="Arial" w:hAnsi="Arial" w:cs="Arial"/>
          <w:color w:val="000000"/>
          <w:sz w:val="24"/>
          <w:szCs w:val="24"/>
        </w:rPr>
        <w:t xml:space="preserve"> 10, 2024 - NIH Operates Under a Continuing Resolution. See Notice </w:t>
      </w:r>
      <w:r w:rsidR="00716859" w:rsidRPr="00716859">
        <w:rPr>
          <w:rFonts w:ascii="Arial" w:hAnsi="Arial" w:cs="Arial"/>
          <w:color w:val="000000"/>
          <w:sz w:val="24"/>
          <w:szCs w:val="24"/>
        </w:rPr>
        <w:br/>
      </w:r>
      <w:hyperlink r:id="rId7" w:history="1">
        <w:r w:rsidRPr="00716859">
          <w:rPr>
            <w:rFonts w:ascii="Arial" w:hAnsi="Arial" w:cs="Arial"/>
            <w:color w:val="1F6FB1"/>
            <w:sz w:val="24"/>
            <w:szCs w:val="24"/>
          </w:rPr>
          <w:t>N</w:t>
        </w:r>
        <w:r w:rsidR="00DB02F2">
          <w:rPr>
            <w:rFonts w:ascii="Arial" w:hAnsi="Arial" w:cs="Arial"/>
            <w:color w:val="1F6FB1"/>
            <w:sz w:val="24"/>
            <w:szCs w:val="24"/>
          </w:rPr>
          <w:t>-O-</w:t>
        </w:r>
        <w:r w:rsidRPr="00716859">
          <w:rPr>
            <w:rFonts w:ascii="Arial" w:hAnsi="Arial" w:cs="Arial"/>
            <w:color w:val="1F6FB1"/>
            <w:spacing w:val="-25"/>
            <w:sz w:val="24"/>
            <w:szCs w:val="24"/>
          </w:rPr>
          <w:t>T</w:t>
        </w:r>
        <w:r w:rsidRPr="00716859">
          <w:rPr>
            <w:rFonts w:ascii="Arial" w:hAnsi="Arial" w:cs="Arial"/>
            <w:color w:val="1F6FB1"/>
            <w:sz w:val="24"/>
            <w:szCs w:val="24"/>
          </w:rPr>
          <w:t>-OD-25-010</w:t>
        </w:r>
      </w:hyperlink>
      <w:r w:rsidRPr="00716859">
        <w:rPr>
          <w:rFonts w:ascii="Arial" w:hAnsi="Arial" w:cs="Arial"/>
          <w:color w:val="000000"/>
          <w:sz w:val="24"/>
          <w:szCs w:val="24"/>
        </w:rPr>
        <w:t>.</w:t>
      </w:r>
      <w:r w:rsidRPr="00716859">
        <w:rPr>
          <w:rFonts w:ascii="Arial" w:hAnsi="Arial" w:cs="Arial"/>
          <w:sz w:val="24"/>
          <w:szCs w:val="24"/>
        </w:rPr>
        <w:t xml:space="preserve"> </w:t>
      </w:r>
    </w:p>
    <w:p w14:paraId="67A2ABAE" w14:textId="3D374A35" w:rsidR="00716859" w:rsidRPr="00716859" w:rsidRDefault="00ED2FF9" w:rsidP="00716859">
      <w:pPr>
        <w:pStyle w:val="ListParagraph"/>
        <w:numPr>
          <w:ilvl w:val="0"/>
          <w:numId w:val="1"/>
        </w:numPr>
        <w:spacing w:before="277" w:line="360" w:lineRule="auto"/>
        <w:ind w:right="-40"/>
        <w:rPr>
          <w:rFonts w:ascii="Arial" w:hAnsi="Arial" w:cs="Arial"/>
          <w:color w:val="010302"/>
          <w:sz w:val="24"/>
          <w:szCs w:val="24"/>
        </w:rPr>
      </w:pPr>
      <w:r w:rsidRPr="00716859">
        <w:rPr>
          <w:rFonts w:ascii="Arial" w:hAnsi="Arial" w:cs="Arial"/>
          <w:color w:val="000000"/>
          <w:sz w:val="24"/>
          <w:szCs w:val="24"/>
        </w:rPr>
        <w:t>A</w:t>
      </w:r>
      <w:r w:rsidR="007D4193" w:rsidRPr="00716859">
        <w:rPr>
          <w:rFonts w:ascii="Arial" w:hAnsi="Arial" w:cs="Arial"/>
          <w:color w:val="000000"/>
          <w:sz w:val="24"/>
          <w:szCs w:val="24"/>
        </w:rPr>
        <w:t>pril 30, 2024 - Notice of Legislative Mandates in E</w:t>
      </w:r>
      <w:r w:rsidR="007D4193" w:rsidRPr="00716859">
        <w:rPr>
          <w:rFonts w:ascii="Arial" w:hAnsi="Arial" w:cs="Arial"/>
          <w:color w:val="000000"/>
          <w:spacing w:val="-5"/>
          <w:sz w:val="24"/>
          <w:szCs w:val="24"/>
        </w:rPr>
        <w:t>f</w:t>
      </w:r>
      <w:r w:rsidR="007D4193" w:rsidRPr="00716859">
        <w:rPr>
          <w:rFonts w:ascii="Arial" w:hAnsi="Arial" w:cs="Arial"/>
          <w:color w:val="000000"/>
          <w:sz w:val="24"/>
          <w:szCs w:val="24"/>
        </w:rPr>
        <w:t>fect for F</w:t>
      </w:r>
      <w:r w:rsidR="007D4193" w:rsidRPr="00716859">
        <w:rPr>
          <w:rFonts w:ascii="Arial" w:hAnsi="Arial" w:cs="Arial"/>
          <w:color w:val="000000"/>
          <w:spacing w:val="-10"/>
          <w:sz w:val="24"/>
          <w:szCs w:val="24"/>
        </w:rPr>
        <w:t>Y</w:t>
      </w:r>
      <w:r w:rsidR="007D4193" w:rsidRPr="00716859">
        <w:rPr>
          <w:rFonts w:ascii="Arial" w:hAnsi="Arial" w:cs="Arial"/>
          <w:color w:val="000000"/>
          <w:sz w:val="24"/>
          <w:szCs w:val="24"/>
        </w:rPr>
        <w:t xml:space="preserve"> 2024. See Notice </w:t>
      </w:r>
      <w:r w:rsidR="0009648C" w:rsidRPr="00716859">
        <w:rPr>
          <w:rFonts w:ascii="Arial" w:hAnsi="Arial" w:cs="Arial"/>
          <w:color w:val="000000"/>
          <w:sz w:val="24"/>
          <w:szCs w:val="24"/>
        </w:rPr>
        <w:br/>
      </w:r>
      <w:hyperlink r:id="rId8" w:history="1">
        <w:r w:rsidR="007D4193" w:rsidRPr="00716859">
          <w:rPr>
            <w:rFonts w:ascii="Arial" w:hAnsi="Arial" w:cs="Arial"/>
            <w:color w:val="1F6FB1"/>
            <w:sz w:val="24"/>
            <w:szCs w:val="24"/>
          </w:rPr>
          <w:t>N</w:t>
        </w:r>
        <w:r w:rsidR="00DB02F2">
          <w:rPr>
            <w:rFonts w:ascii="Arial" w:hAnsi="Arial" w:cs="Arial"/>
            <w:color w:val="1F6FB1"/>
            <w:sz w:val="24"/>
            <w:szCs w:val="24"/>
          </w:rPr>
          <w:t>-O-</w:t>
        </w:r>
        <w:r w:rsidR="007D4193" w:rsidRPr="00716859">
          <w:rPr>
            <w:rFonts w:ascii="Arial" w:hAnsi="Arial" w:cs="Arial"/>
            <w:color w:val="1F6FB1"/>
            <w:spacing w:val="-25"/>
            <w:sz w:val="24"/>
            <w:szCs w:val="24"/>
          </w:rPr>
          <w:t>T</w:t>
        </w:r>
        <w:r w:rsidR="007D4193" w:rsidRPr="00716859">
          <w:rPr>
            <w:rFonts w:ascii="Arial" w:hAnsi="Arial" w:cs="Arial"/>
            <w:color w:val="1F6FB1"/>
            <w:sz w:val="24"/>
            <w:szCs w:val="24"/>
          </w:rPr>
          <w:t>-OD-24-</w:t>
        </w:r>
        <w:r w:rsidR="007D4193" w:rsidRPr="00716859">
          <w:rPr>
            <w:rFonts w:ascii="Arial" w:hAnsi="Arial" w:cs="Arial"/>
            <w:color w:val="1F6FB1"/>
            <w:spacing w:val="-10"/>
            <w:sz w:val="24"/>
            <w:szCs w:val="24"/>
          </w:rPr>
          <w:t>1</w:t>
        </w:r>
        <w:r w:rsidR="007D4193" w:rsidRPr="00716859">
          <w:rPr>
            <w:rFonts w:ascii="Arial" w:hAnsi="Arial" w:cs="Arial"/>
            <w:color w:val="1F6FB1"/>
            <w:sz w:val="24"/>
            <w:szCs w:val="24"/>
          </w:rPr>
          <w:t>10</w:t>
        </w:r>
      </w:hyperlink>
      <w:r w:rsidR="007D4193" w:rsidRPr="00716859">
        <w:rPr>
          <w:rFonts w:ascii="Arial" w:hAnsi="Arial" w:cs="Arial"/>
          <w:sz w:val="24"/>
          <w:szCs w:val="24"/>
        </w:rPr>
        <w:t xml:space="preserve"> </w:t>
      </w:r>
    </w:p>
    <w:p w14:paraId="099051A1" w14:textId="2E1E1981" w:rsidR="00AC3657" w:rsidRPr="00AC3657" w:rsidRDefault="007D4193" w:rsidP="00AC3657">
      <w:pPr>
        <w:pStyle w:val="ListParagraph"/>
        <w:numPr>
          <w:ilvl w:val="0"/>
          <w:numId w:val="1"/>
        </w:numPr>
        <w:spacing w:before="277" w:line="360" w:lineRule="auto"/>
        <w:ind w:right="-40"/>
        <w:rPr>
          <w:rFonts w:ascii="Arial" w:hAnsi="Arial" w:cs="Arial"/>
          <w:color w:val="010302"/>
          <w:sz w:val="24"/>
          <w:szCs w:val="24"/>
        </w:rPr>
      </w:pPr>
      <w:r w:rsidRPr="00716859">
        <w:rPr>
          <w:rFonts w:ascii="Arial" w:hAnsi="Arial" w:cs="Arial"/>
          <w:color w:val="000000"/>
          <w:sz w:val="24"/>
          <w:szCs w:val="24"/>
        </w:rPr>
        <w:t>April 30, 2024 - Notice of Fiscal Policies in E</w:t>
      </w:r>
      <w:r w:rsidRPr="00716859">
        <w:rPr>
          <w:rFonts w:ascii="Arial" w:hAnsi="Arial" w:cs="Arial"/>
          <w:color w:val="000000"/>
          <w:spacing w:val="-5"/>
          <w:sz w:val="24"/>
          <w:szCs w:val="24"/>
        </w:rPr>
        <w:t>f</w:t>
      </w:r>
      <w:r w:rsidRPr="00716859">
        <w:rPr>
          <w:rFonts w:ascii="Arial" w:hAnsi="Arial" w:cs="Arial"/>
          <w:color w:val="000000"/>
          <w:sz w:val="24"/>
          <w:szCs w:val="24"/>
        </w:rPr>
        <w:t>fect for F</w:t>
      </w:r>
      <w:r w:rsidRPr="00716859">
        <w:rPr>
          <w:rFonts w:ascii="Arial" w:hAnsi="Arial" w:cs="Arial"/>
          <w:color w:val="000000"/>
          <w:spacing w:val="-10"/>
          <w:sz w:val="24"/>
          <w:szCs w:val="24"/>
        </w:rPr>
        <w:t>Y</w:t>
      </w:r>
      <w:r w:rsidRPr="00716859">
        <w:rPr>
          <w:rFonts w:ascii="Arial" w:hAnsi="Arial" w:cs="Arial"/>
          <w:color w:val="000000"/>
          <w:sz w:val="24"/>
          <w:szCs w:val="24"/>
        </w:rPr>
        <w:t xml:space="preserve"> 2024. See Notice </w:t>
      </w:r>
      <w:r w:rsidR="00716859" w:rsidRPr="00716859">
        <w:rPr>
          <w:rFonts w:ascii="Arial" w:hAnsi="Arial" w:cs="Arial"/>
          <w:color w:val="000000"/>
          <w:sz w:val="24"/>
          <w:szCs w:val="24"/>
        </w:rPr>
        <w:br/>
      </w:r>
      <w:hyperlink r:id="rId9" w:history="1">
        <w:r w:rsidRPr="00716859">
          <w:rPr>
            <w:rFonts w:ascii="Arial" w:hAnsi="Arial" w:cs="Arial"/>
            <w:color w:val="1F6FB1"/>
            <w:sz w:val="24"/>
            <w:szCs w:val="24"/>
          </w:rPr>
          <w:t>N</w:t>
        </w:r>
        <w:r w:rsidR="00DB02F2">
          <w:rPr>
            <w:rFonts w:ascii="Arial" w:hAnsi="Arial" w:cs="Arial"/>
            <w:color w:val="1F6FB1"/>
            <w:sz w:val="24"/>
            <w:szCs w:val="24"/>
          </w:rPr>
          <w:t>-O-</w:t>
        </w:r>
        <w:r w:rsidRPr="00716859">
          <w:rPr>
            <w:rFonts w:ascii="Arial" w:hAnsi="Arial" w:cs="Arial"/>
            <w:color w:val="1F6FB1"/>
            <w:spacing w:val="-25"/>
            <w:sz w:val="24"/>
            <w:szCs w:val="24"/>
          </w:rPr>
          <w:t>T</w:t>
        </w:r>
        <w:r w:rsidRPr="00716859">
          <w:rPr>
            <w:rFonts w:ascii="Arial" w:hAnsi="Arial" w:cs="Arial"/>
            <w:color w:val="1F6FB1"/>
            <w:sz w:val="24"/>
            <w:szCs w:val="24"/>
          </w:rPr>
          <w:t>-OD-24-109</w:t>
        </w:r>
      </w:hyperlink>
      <w:r w:rsidRPr="00716859">
        <w:rPr>
          <w:rFonts w:ascii="Arial" w:hAnsi="Arial" w:cs="Arial"/>
          <w:color w:val="1F6FB1"/>
          <w:sz w:val="24"/>
          <w:szCs w:val="24"/>
        </w:rPr>
        <w:t xml:space="preserve"> </w:t>
      </w:r>
    </w:p>
    <w:p w14:paraId="5C18BBFD" w14:textId="2852BFAE" w:rsidR="00EE2F8A" w:rsidRPr="00AC3657" w:rsidRDefault="007D4193" w:rsidP="00AC3657">
      <w:pPr>
        <w:spacing w:before="277" w:line="360" w:lineRule="auto"/>
        <w:ind w:left="1" w:right="-40"/>
        <w:rPr>
          <w:rFonts w:ascii="Arial" w:hAnsi="Arial" w:cs="Arial"/>
          <w:color w:val="010302"/>
          <w:sz w:val="24"/>
          <w:szCs w:val="24"/>
        </w:rPr>
      </w:pPr>
      <w:r w:rsidRPr="00AC3657">
        <w:rPr>
          <w:rFonts w:ascii="Arial" w:hAnsi="Arial" w:cs="Arial"/>
          <w:b/>
          <w:bCs/>
          <w:color w:val="00355D"/>
          <w:sz w:val="24"/>
          <w:szCs w:val="24"/>
        </w:rPr>
        <w:t xml:space="preserve">Purpose </w:t>
      </w:r>
    </w:p>
    <w:p w14:paraId="3BF0B7D8" w14:textId="56665BF1" w:rsidR="00EE2F8A" w:rsidRPr="00ED2FF9" w:rsidRDefault="007D4193" w:rsidP="00ED2FF9">
      <w:pPr>
        <w:spacing w:before="277" w:line="360" w:lineRule="auto"/>
        <w:ind w:left="1" w:right="-40"/>
        <w:rPr>
          <w:rFonts w:ascii="Arial" w:hAnsi="Arial" w:cs="Arial"/>
          <w:color w:val="010302"/>
          <w:sz w:val="24"/>
          <w:szCs w:val="24"/>
        </w:rPr>
      </w:pPr>
      <w:r w:rsidRPr="00ED2FF9">
        <w:rPr>
          <w:rFonts w:ascii="Arial" w:hAnsi="Arial" w:cs="Arial"/>
          <w:color w:val="000000"/>
          <w:sz w:val="24"/>
          <w:szCs w:val="24"/>
        </w:rPr>
        <w:t>This Notice provides information regarding the salary limitation for NIH grant and cooperative agreement</w:t>
      </w:r>
      <w:r w:rsidRPr="00ED2FF9">
        <w:rPr>
          <w:rFonts w:ascii="Arial" w:hAnsi="Arial" w:cs="Arial"/>
          <w:sz w:val="24"/>
          <w:szCs w:val="24"/>
        </w:rPr>
        <w:t xml:space="preserve"> </w:t>
      </w:r>
      <w:r w:rsidRPr="00ED2FF9">
        <w:rPr>
          <w:rFonts w:ascii="Arial" w:hAnsi="Arial" w:cs="Arial"/>
          <w:color w:val="000000"/>
          <w:sz w:val="24"/>
          <w:szCs w:val="24"/>
        </w:rPr>
        <w:t>awards and extramural research and development contract awards.</w:t>
      </w:r>
      <w:r w:rsidRPr="00ED2FF9">
        <w:rPr>
          <w:rFonts w:ascii="Arial" w:hAnsi="Arial" w:cs="Arial"/>
          <w:sz w:val="24"/>
          <w:szCs w:val="24"/>
        </w:rPr>
        <w:t xml:space="preserve"> </w:t>
      </w:r>
    </w:p>
    <w:p w14:paraId="1CC9B8A1" w14:textId="612EF874" w:rsidR="00EE2F8A" w:rsidRPr="00ED2FF9" w:rsidRDefault="007D4193" w:rsidP="00ED2FF9">
      <w:pPr>
        <w:spacing w:before="197" w:line="360" w:lineRule="auto"/>
        <w:ind w:left="1" w:right="-40"/>
        <w:rPr>
          <w:rFonts w:ascii="Arial" w:hAnsi="Arial" w:cs="Arial"/>
          <w:color w:val="010302"/>
          <w:sz w:val="24"/>
          <w:szCs w:val="24"/>
        </w:rPr>
      </w:pPr>
      <w:r w:rsidRPr="00ED2FF9">
        <w:rPr>
          <w:rFonts w:ascii="Arial" w:hAnsi="Arial" w:cs="Arial"/>
          <w:color w:val="000000"/>
          <w:sz w:val="24"/>
          <w:szCs w:val="24"/>
        </w:rPr>
        <w:t>Since 1990, Congress has legislatively mandated a limitation on salary for individuals under NIH grant and</w:t>
      </w:r>
      <w:r w:rsidRPr="00ED2FF9">
        <w:rPr>
          <w:rFonts w:ascii="Arial" w:hAnsi="Arial" w:cs="Arial"/>
          <w:sz w:val="24"/>
          <w:szCs w:val="24"/>
        </w:rPr>
        <w:t xml:space="preserve"> </w:t>
      </w:r>
      <w:r w:rsidRPr="00ED2FF9">
        <w:rPr>
          <w:rFonts w:ascii="Arial" w:hAnsi="Arial" w:cs="Arial"/>
          <w:color w:val="000000"/>
          <w:sz w:val="24"/>
          <w:szCs w:val="24"/>
        </w:rPr>
        <w:t>cooperative agreement awards (referred to here as a grant).</w:t>
      </w:r>
      <w:r w:rsidRPr="00ED2FF9">
        <w:rPr>
          <w:rFonts w:ascii="Arial" w:hAnsi="Arial" w:cs="Arial"/>
          <w:sz w:val="24"/>
          <w:szCs w:val="24"/>
        </w:rPr>
        <w:t xml:space="preserve"> </w:t>
      </w:r>
    </w:p>
    <w:p w14:paraId="420C0723" w14:textId="337D4D66" w:rsidR="00EE2F8A" w:rsidRPr="00ED2FF9" w:rsidRDefault="007D4193" w:rsidP="00ED2FF9">
      <w:pPr>
        <w:spacing w:before="197" w:line="360" w:lineRule="auto"/>
        <w:ind w:left="1" w:right="-40"/>
        <w:rPr>
          <w:rFonts w:ascii="Arial" w:hAnsi="Arial" w:cs="Arial"/>
          <w:color w:val="010302"/>
          <w:sz w:val="24"/>
          <w:szCs w:val="24"/>
        </w:rPr>
      </w:pPr>
      <w:r w:rsidRPr="00ED2FF9">
        <w:rPr>
          <w:rFonts w:ascii="Arial" w:hAnsi="Arial" w:cs="Arial"/>
          <w:color w:val="000000"/>
          <w:sz w:val="24"/>
          <w:szCs w:val="24"/>
        </w:rPr>
        <w:lastRenderedPageBreak/>
        <w:t>As a reminde</w:t>
      </w:r>
      <w:r w:rsidRPr="00ED2FF9">
        <w:rPr>
          <w:rFonts w:ascii="Arial" w:hAnsi="Arial" w:cs="Arial"/>
          <w:color w:val="000000"/>
          <w:spacing w:val="-11"/>
          <w:sz w:val="24"/>
          <w:szCs w:val="24"/>
        </w:rPr>
        <w:t>r</w:t>
      </w:r>
      <w:r w:rsidRPr="00ED2FF9">
        <w:rPr>
          <w:rFonts w:ascii="Arial" w:hAnsi="Arial" w:cs="Arial"/>
          <w:color w:val="000000"/>
          <w:sz w:val="24"/>
          <w:szCs w:val="24"/>
        </w:rPr>
        <w:t xml:space="preserve">, </w:t>
      </w:r>
      <w:hyperlink r:id="rId10" w:history="1">
        <w:r w:rsidRPr="00E31626">
          <w:rPr>
            <w:rFonts w:ascii="Arial" w:hAnsi="Arial" w:cs="Arial"/>
            <w:b/>
            <w:bCs/>
            <w:sz w:val="24"/>
            <w:szCs w:val="24"/>
          </w:rPr>
          <w:t>e</w:t>
        </w:r>
        <w:r w:rsidRPr="00E31626">
          <w:rPr>
            <w:rFonts w:ascii="Arial" w:hAnsi="Arial" w:cs="Arial"/>
            <w:b/>
            <w:bCs/>
            <w:spacing w:val="-5"/>
            <w:sz w:val="24"/>
            <w:szCs w:val="24"/>
          </w:rPr>
          <w:t>f</w:t>
        </w:r>
        <w:r w:rsidRPr="00E31626">
          <w:rPr>
            <w:rFonts w:ascii="Arial" w:hAnsi="Arial" w:cs="Arial"/>
            <w:b/>
            <w:bCs/>
            <w:sz w:val="24"/>
            <w:szCs w:val="24"/>
          </w:rPr>
          <w:t>fective October 1, 2024</w:t>
        </w:r>
      </w:hyperlink>
      <w:r w:rsidRPr="00ED2FF9">
        <w:rPr>
          <w:rFonts w:ascii="Arial" w:hAnsi="Arial" w:cs="Arial"/>
          <w:color w:val="000000"/>
          <w:sz w:val="24"/>
          <w:szCs w:val="24"/>
        </w:rPr>
        <w:t>, this mandate applies to both direct salaries (individuals working</w:t>
      </w:r>
      <w:r w:rsidRPr="00ED2FF9">
        <w:rPr>
          <w:rFonts w:ascii="Arial" w:hAnsi="Arial" w:cs="Arial"/>
          <w:sz w:val="24"/>
          <w:szCs w:val="24"/>
        </w:rPr>
        <w:t xml:space="preserve"> </w:t>
      </w:r>
      <w:r w:rsidRPr="00ED2FF9">
        <w:rPr>
          <w:rFonts w:ascii="Arial" w:hAnsi="Arial" w:cs="Arial"/>
          <w:color w:val="000000"/>
          <w:sz w:val="24"/>
          <w:szCs w:val="24"/>
        </w:rPr>
        <w:t>directly on NIH projects) and indirect salaries (executive salaries in various uncapped cost pools).</w:t>
      </w:r>
      <w:r w:rsidRPr="00ED2FF9">
        <w:rPr>
          <w:rFonts w:ascii="Arial" w:hAnsi="Arial" w:cs="Arial"/>
          <w:color w:val="000000"/>
          <w:spacing w:val="-5"/>
          <w:sz w:val="24"/>
          <w:szCs w:val="24"/>
        </w:rPr>
        <w:t xml:space="preserve"> </w:t>
      </w:r>
      <w:r w:rsidRPr="00ED2FF9">
        <w:rPr>
          <w:rFonts w:ascii="Arial" w:hAnsi="Arial" w:cs="Arial"/>
          <w:color w:val="000000"/>
          <w:sz w:val="24"/>
          <w:szCs w:val="24"/>
        </w:rPr>
        <w:t>The</w:t>
      </w:r>
      <w:r w:rsidRPr="00ED2FF9">
        <w:rPr>
          <w:rFonts w:ascii="Arial" w:hAnsi="Arial" w:cs="Arial"/>
          <w:sz w:val="24"/>
          <w:szCs w:val="24"/>
        </w:rPr>
        <w:t xml:space="preserve"> </w:t>
      </w:r>
      <w:r w:rsidRPr="00ED2FF9">
        <w:rPr>
          <w:rFonts w:ascii="Arial" w:hAnsi="Arial" w:cs="Arial"/>
          <w:color w:val="000000"/>
          <w:spacing w:val="-7"/>
          <w:sz w:val="24"/>
          <w:szCs w:val="24"/>
        </w:rPr>
        <w:t>mandate appears in the annual appropriation act that provides authority for NIH to incur obligations for a given</w:t>
      </w:r>
      <w:r w:rsidRPr="00ED2FF9">
        <w:rPr>
          <w:rFonts w:ascii="Arial" w:hAnsi="Arial" w:cs="Arial"/>
          <w:sz w:val="24"/>
          <w:szCs w:val="24"/>
        </w:rPr>
        <w:t xml:space="preserve"> </w:t>
      </w:r>
      <w:r w:rsidRPr="00ED2FF9">
        <w:rPr>
          <w:rFonts w:ascii="Arial" w:hAnsi="Arial" w:cs="Arial"/>
          <w:color w:val="000000"/>
          <w:sz w:val="24"/>
          <w:szCs w:val="24"/>
        </w:rPr>
        <w:t>Fiscal</w:t>
      </w:r>
      <w:r w:rsidRPr="00ED2FF9">
        <w:rPr>
          <w:rFonts w:ascii="Arial" w:hAnsi="Arial" w:cs="Arial"/>
          <w:color w:val="000000"/>
          <w:spacing w:val="-10"/>
          <w:sz w:val="24"/>
          <w:szCs w:val="24"/>
        </w:rPr>
        <w:t xml:space="preserve"> </w:t>
      </w:r>
      <w:r w:rsidRPr="00ED2FF9">
        <w:rPr>
          <w:rFonts w:ascii="Arial" w:hAnsi="Arial" w:cs="Arial"/>
          <w:color w:val="000000"/>
          <w:spacing w:val="-27"/>
          <w:sz w:val="24"/>
          <w:szCs w:val="24"/>
        </w:rPr>
        <w:t>Y</w:t>
      </w:r>
      <w:r w:rsidRPr="00ED2FF9">
        <w:rPr>
          <w:rFonts w:ascii="Arial" w:hAnsi="Arial" w:cs="Arial"/>
          <w:color w:val="000000"/>
          <w:sz w:val="24"/>
          <w:szCs w:val="24"/>
        </w:rPr>
        <w:t xml:space="preserve">ear (FY). </w:t>
      </w:r>
      <w:r w:rsidR="0007005F">
        <w:rPr>
          <w:rFonts w:ascii="Arial" w:hAnsi="Arial" w:cs="Arial"/>
          <w:color w:val="000000"/>
          <w:sz w:val="24"/>
          <w:szCs w:val="24"/>
        </w:rPr>
        <w:t>Health and Human Services (</w:t>
      </w:r>
      <w:r w:rsidRPr="00ED2FF9">
        <w:rPr>
          <w:rFonts w:ascii="Arial" w:hAnsi="Arial" w:cs="Arial"/>
          <w:color w:val="000000"/>
          <w:sz w:val="24"/>
          <w:szCs w:val="24"/>
        </w:rPr>
        <w:t>HHS</w:t>
      </w:r>
      <w:r w:rsidR="0007005F">
        <w:rPr>
          <w:rFonts w:ascii="Arial" w:hAnsi="Arial" w:cs="Arial"/>
          <w:color w:val="000000"/>
          <w:sz w:val="24"/>
          <w:szCs w:val="24"/>
        </w:rPr>
        <w:t>)</w:t>
      </w:r>
      <w:r w:rsidRPr="00ED2FF9">
        <w:rPr>
          <w:rFonts w:ascii="Arial" w:hAnsi="Arial" w:cs="Arial"/>
          <w:color w:val="000000"/>
          <w:sz w:val="24"/>
          <w:szCs w:val="24"/>
        </w:rPr>
        <w:t>/NIH has not received an F</w:t>
      </w:r>
      <w:r w:rsidRPr="00ED2FF9">
        <w:rPr>
          <w:rFonts w:ascii="Arial" w:hAnsi="Arial" w:cs="Arial"/>
          <w:color w:val="000000"/>
          <w:spacing w:val="-10"/>
          <w:sz w:val="24"/>
          <w:szCs w:val="24"/>
        </w:rPr>
        <w:t>Y</w:t>
      </w:r>
      <w:r w:rsidRPr="00ED2FF9">
        <w:rPr>
          <w:rFonts w:ascii="Arial" w:hAnsi="Arial" w:cs="Arial"/>
          <w:color w:val="000000"/>
          <w:sz w:val="24"/>
          <w:szCs w:val="24"/>
        </w:rPr>
        <w:t xml:space="preserve"> </w:t>
      </w:r>
      <w:r w:rsidR="00120A74">
        <w:rPr>
          <w:rFonts w:ascii="Arial" w:hAnsi="Arial" w:cs="Arial"/>
          <w:color w:val="000000"/>
          <w:sz w:val="24"/>
          <w:szCs w:val="24"/>
        </w:rPr>
        <w:t xml:space="preserve">(fiscal year) </w:t>
      </w:r>
      <w:r w:rsidRPr="00ED2FF9">
        <w:rPr>
          <w:rFonts w:ascii="Arial" w:hAnsi="Arial" w:cs="Arial"/>
          <w:color w:val="000000"/>
          <w:sz w:val="24"/>
          <w:szCs w:val="24"/>
        </w:rPr>
        <w:t>2025 appropriation and is operating under a Continuing</w:t>
      </w:r>
      <w:r w:rsidRPr="00ED2FF9">
        <w:rPr>
          <w:rFonts w:ascii="Arial" w:hAnsi="Arial" w:cs="Arial"/>
          <w:sz w:val="24"/>
          <w:szCs w:val="24"/>
        </w:rPr>
        <w:t xml:space="preserve"> </w:t>
      </w:r>
      <w:r w:rsidRPr="00ED2FF9">
        <w:rPr>
          <w:rFonts w:ascii="Arial" w:hAnsi="Arial" w:cs="Arial"/>
          <w:color w:val="000000"/>
          <w:sz w:val="24"/>
          <w:szCs w:val="24"/>
        </w:rPr>
        <w:t>Resolution, the “Full-</w:t>
      </w:r>
      <w:r w:rsidRPr="00ED2FF9">
        <w:rPr>
          <w:rFonts w:ascii="Arial" w:hAnsi="Arial" w:cs="Arial"/>
          <w:color w:val="000000"/>
          <w:spacing w:val="-27"/>
          <w:sz w:val="24"/>
          <w:szCs w:val="24"/>
        </w:rPr>
        <w:t>Y</w:t>
      </w:r>
      <w:r w:rsidRPr="00ED2FF9">
        <w:rPr>
          <w:rFonts w:ascii="Arial" w:hAnsi="Arial" w:cs="Arial"/>
          <w:color w:val="000000"/>
          <w:sz w:val="24"/>
          <w:szCs w:val="24"/>
        </w:rPr>
        <w:t>ear Continuing</w:t>
      </w:r>
      <w:r w:rsidRPr="00ED2FF9">
        <w:rPr>
          <w:rFonts w:ascii="Arial" w:hAnsi="Arial" w:cs="Arial"/>
          <w:color w:val="000000"/>
          <w:spacing w:val="-15"/>
          <w:sz w:val="24"/>
          <w:szCs w:val="24"/>
        </w:rPr>
        <w:t xml:space="preserve"> </w:t>
      </w:r>
      <w:r w:rsidRPr="00ED2FF9">
        <w:rPr>
          <w:rFonts w:ascii="Arial" w:hAnsi="Arial" w:cs="Arial"/>
          <w:color w:val="000000"/>
          <w:sz w:val="24"/>
          <w:szCs w:val="24"/>
        </w:rPr>
        <w:t>Appropriations and Extensions</w:t>
      </w:r>
      <w:r w:rsidRPr="00ED2FF9">
        <w:rPr>
          <w:rFonts w:ascii="Arial" w:hAnsi="Arial" w:cs="Arial"/>
          <w:color w:val="000000"/>
          <w:spacing w:val="-15"/>
          <w:sz w:val="24"/>
          <w:szCs w:val="24"/>
        </w:rPr>
        <w:t xml:space="preserve"> </w:t>
      </w:r>
      <w:r w:rsidRPr="00ED2FF9">
        <w:rPr>
          <w:rFonts w:ascii="Arial" w:hAnsi="Arial" w:cs="Arial"/>
          <w:color w:val="000000"/>
          <w:sz w:val="24"/>
          <w:szCs w:val="24"/>
        </w:rPr>
        <w:t>Act, 2025 (</w:t>
      </w:r>
      <w:hyperlink r:id="rId11" w:history="1">
        <w:r w:rsidRPr="00F34750">
          <w:rPr>
            <w:rFonts w:ascii="Arial" w:hAnsi="Arial" w:cs="Arial"/>
            <w:color w:val="1F6FB1"/>
            <w:sz w:val="24"/>
            <w:szCs w:val="24"/>
          </w:rPr>
          <w:t xml:space="preserve">Public Law </w:t>
        </w:r>
        <w:r w:rsidRPr="00F34750">
          <w:rPr>
            <w:rFonts w:ascii="Arial" w:hAnsi="Arial" w:cs="Arial"/>
            <w:color w:val="1F6FB1"/>
            <w:spacing w:val="-10"/>
            <w:sz w:val="24"/>
            <w:szCs w:val="24"/>
          </w:rPr>
          <w:t>1</w:t>
        </w:r>
        <w:r w:rsidRPr="00F34750">
          <w:rPr>
            <w:rFonts w:ascii="Arial" w:hAnsi="Arial" w:cs="Arial"/>
            <w:color w:val="1F6FB1"/>
            <w:sz w:val="24"/>
            <w:szCs w:val="24"/>
          </w:rPr>
          <w:t>19-4</w:t>
        </w:r>
      </w:hyperlink>
      <w:r w:rsidRPr="00ED2FF9">
        <w:rPr>
          <w:rFonts w:ascii="Arial" w:hAnsi="Arial" w:cs="Arial"/>
          <w:color w:val="000000"/>
          <w:sz w:val="24"/>
          <w:szCs w:val="24"/>
        </w:rPr>
        <w:t>)”, that</w:t>
      </w:r>
      <w:r w:rsidRPr="00ED2FF9">
        <w:rPr>
          <w:rFonts w:ascii="Arial" w:hAnsi="Arial" w:cs="Arial"/>
          <w:sz w:val="24"/>
          <w:szCs w:val="24"/>
        </w:rPr>
        <w:t xml:space="preserve"> </w:t>
      </w:r>
      <w:r w:rsidRPr="00ED2FF9">
        <w:rPr>
          <w:rFonts w:ascii="Arial" w:hAnsi="Arial" w:cs="Arial"/>
          <w:color w:val="000000"/>
          <w:sz w:val="24"/>
          <w:szCs w:val="24"/>
        </w:rPr>
        <w:t>applies the terms and conditions of the Consolidated</w:t>
      </w:r>
      <w:r w:rsidRPr="00ED2FF9">
        <w:rPr>
          <w:rFonts w:ascii="Arial" w:hAnsi="Arial" w:cs="Arial"/>
          <w:color w:val="000000"/>
          <w:spacing w:val="-15"/>
          <w:sz w:val="24"/>
          <w:szCs w:val="24"/>
        </w:rPr>
        <w:t xml:space="preserve"> </w:t>
      </w:r>
      <w:r w:rsidRPr="00ED2FF9">
        <w:rPr>
          <w:rFonts w:ascii="Arial" w:hAnsi="Arial" w:cs="Arial"/>
          <w:color w:val="000000"/>
          <w:sz w:val="24"/>
          <w:szCs w:val="24"/>
        </w:rPr>
        <w:t>Appropriations</w:t>
      </w:r>
      <w:r w:rsidRPr="00ED2FF9">
        <w:rPr>
          <w:rFonts w:ascii="Arial" w:hAnsi="Arial" w:cs="Arial"/>
          <w:color w:val="000000"/>
          <w:spacing w:val="-15"/>
          <w:sz w:val="24"/>
          <w:szCs w:val="24"/>
        </w:rPr>
        <w:t xml:space="preserve"> </w:t>
      </w:r>
      <w:r w:rsidRPr="00ED2FF9">
        <w:rPr>
          <w:rFonts w:ascii="Arial" w:hAnsi="Arial" w:cs="Arial"/>
          <w:color w:val="000000"/>
          <w:sz w:val="24"/>
          <w:szCs w:val="24"/>
        </w:rPr>
        <w:t>Act, 2024.</w:t>
      </w:r>
      <w:r w:rsidRPr="00ED2FF9">
        <w:rPr>
          <w:rFonts w:ascii="Arial" w:hAnsi="Arial" w:cs="Arial"/>
          <w:sz w:val="24"/>
          <w:szCs w:val="24"/>
        </w:rPr>
        <w:t xml:space="preserve"> </w:t>
      </w:r>
    </w:p>
    <w:p w14:paraId="627AB28A" w14:textId="37C8B151" w:rsidR="00EE2F8A" w:rsidRPr="00ED2FF9" w:rsidRDefault="007D4193" w:rsidP="00ED2FF9">
      <w:pPr>
        <w:spacing w:before="197" w:line="360" w:lineRule="auto"/>
        <w:ind w:left="1" w:right="-40"/>
        <w:rPr>
          <w:rFonts w:ascii="Arial" w:hAnsi="Arial" w:cs="Arial"/>
          <w:b/>
          <w:bCs/>
          <w:color w:val="010302"/>
          <w:sz w:val="24"/>
          <w:szCs w:val="24"/>
        </w:rPr>
      </w:pPr>
      <w:r w:rsidRPr="00ED2FF9">
        <w:rPr>
          <w:rFonts w:ascii="Arial" w:hAnsi="Arial" w:cs="Arial"/>
          <w:color w:val="000000"/>
          <w:sz w:val="24"/>
          <w:szCs w:val="24"/>
        </w:rPr>
        <w:t>The Consolidated</w:t>
      </w:r>
      <w:r w:rsidRPr="00ED2FF9">
        <w:rPr>
          <w:rFonts w:ascii="Arial" w:hAnsi="Arial" w:cs="Arial"/>
          <w:color w:val="000000"/>
          <w:spacing w:val="-15"/>
          <w:sz w:val="24"/>
          <w:szCs w:val="24"/>
        </w:rPr>
        <w:t xml:space="preserve"> </w:t>
      </w:r>
      <w:r w:rsidRPr="00ED2FF9">
        <w:rPr>
          <w:rFonts w:ascii="Arial" w:hAnsi="Arial" w:cs="Arial"/>
          <w:color w:val="000000"/>
          <w:sz w:val="24"/>
          <w:szCs w:val="24"/>
        </w:rPr>
        <w:t>Appropriations</w:t>
      </w:r>
      <w:r w:rsidRPr="00ED2FF9">
        <w:rPr>
          <w:rFonts w:ascii="Arial" w:hAnsi="Arial" w:cs="Arial"/>
          <w:color w:val="000000"/>
          <w:spacing w:val="-15"/>
          <w:sz w:val="24"/>
          <w:szCs w:val="24"/>
        </w:rPr>
        <w:t xml:space="preserve"> </w:t>
      </w:r>
      <w:r w:rsidRPr="00ED2FF9">
        <w:rPr>
          <w:rFonts w:ascii="Arial" w:hAnsi="Arial" w:cs="Arial"/>
          <w:color w:val="000000"/>
          <w:sz w:val="24"/>
          <w:szCs w:val="24"/>
        </w:rPr>
        <w:t>Act, 2024 restricts the amount of salary to Executive Level II of the Federal</w:t>
      </w:r>
      <w:r w:rsidRPr="00ED2FF9">
        <w:rPr>
          <w:rFonts w:ascii="Arial" w:hAnsi="Arial" w:cs="Arial"/>
          <w:sz w:val="24"/>
          <w:szCs w:val="24"/>
        </w:rPr>
        <w:t xml:space="preserve"> </w:t>
      </w:r>
      <w:r w:rsidRPr="00ED2FF9">
        <w:rPr>
          <w:rFonts w:ascii="Arial" w:hAnsi="Arial" w:cs="Arial"/>
          <w:color w:val="000000"/>
          <w:sz w:val="24"/>
          <w:szCs w:val="24"/>
        </w:rPr>
        <w:t>Executive pay scale.</w:t>
      </w:r>
      <w:r w:rsidRPr="00ED2FF9">
        <w:rPr>
          <w:rFonts w:ascii="Arial" w:hAnsi="Arial" w:cs="Arial"/>
          <w:color w:val="000000"/>
          <w:spacing w:val="-5"/>
          <w:sz w:val="24"/>
          <w:szCs w:val="24"/>
        </w:rPr>
        <w:t xml:space="preserve"> </w:t>
      </w:r>
      <w:r w:rsidRPr="00ED2FF9">
        <w:rPr>
          <w:rFonts w:ascii="Arial" w:hAnsi="Arial" w:cs="Arial"/>
          <w:color w:val="000000"/>
          <w:sz w:val="24"/>
          <w:szCs w:val="24"/>
        </w:rPr>
        <w:t>The O</w:t>
      </w:r>
      <w:r w:rsidRPr="00ED2FF9">
        <w:rPr>
          <w:rFonts w:ascii="Arial" w:hAnsi="Arial" w:cs="Arial"/>
          <w:color w:val="000000"/>
          <w:spacing w:val="-5"/>
          <w:sz w:val="24"/>
          <w:szCs w:val="24"/>
        </w:rPr>
        <w:t>f</w:t>
      </w:r>
      <w:r w:rsidRPr="00ED2FF9">
        <w:rPr>
          <w:rFonts w:ascii="Arial" w:hAnsi="Arial" w:cs="Arial"/>
          <w:color w:val="000000"/>
          <w:sz w:val="24"/>
          <w:szCs w:val="24"/>
        </w:rPr>
        <w:t>fice of Personnel Management recently released new salary levels for the</w:t>
      </w:r>
      <w:r w:rsidRPr="00ED2FF9">
        <w:rPr>
          <w:rFonts w:ascii="Arial" w:hAnsi="Arial" w:cs="Arial"/>
          <w:sz w:val="24"/>
          <w:szCs w:val="24"/>
        </w:rPr>
        <w:t xml:space="preserve"> </w:t>
      </w:r>
      <w:r w:rsidRPr="00ED2FF9">
        <w:rPr>
          <w:rFonts w:ascii="Arial" w:hAnsi="Arial" w:cs="Arial"/>
          <w:color w:val="000000"/>
          <w:sz w:val="24"/>
          <w:szCs w:val="24"/>
        </w:rPr>
        <w:t xml:space="preserve">Executive Pay Scale. </w:t>
      </w:r>
      <w:r w:rsidRPr="00ED2FF9">
        <w:rPr>
          <w:rFonts w:ascii="Arial" w:hAnsi="Arial" w:cs="Arial"/>
          <w:b/>
          <w:bCs/>
          <w:color w:val="000000"/>
          <w:sz w:val="24"/>
          <w:szCs w:val="24"/>
        </w:rPr>
        <w:t>E</w:t>
      </w:r>
      <w:r w:rsidRPr="00ED2FF9">
        <w:rPr>
          <w:rFonts w:ascii="Arial" w:hAnsi="Arial" w:cs="Arial"/>
          <w:b/>
          <w:bCs/>
          <w:color w:val="000000"/>
          <w:spacing w:val="-5"/>
          <w:sz w:val="24"/>
          <w:szCs w:val="24"/>
        </w:rPr>
        <w:t>f</w:t>
      </w:r>
      <w:r w:rsidRPr="00ED2FF9">
        <w:rPr>
          <w:rFonts w:ascii="Arial" w:hAnsi="Arial" w:cs="Arial"/>
          <w:b/>
          <w:bCs/>
          <w:color w:val="000000"/>
          <w:sz w:val="24"/>
          <w:szCs w:val="24"/>
        </w:rPr>
        <w:t>fective January 1, 2025, the salary limitation for Executive Level II is $225,700.</w:t>
      </w:r>
      <w:r w:rsidRPr="00ED2FF9">
        <w:rPr>
          <w:rFonts w:ascii="Arial" w:hAnsi="Arial" w:cs="Arial"/>
          <w:b/>
          <w:bCs/>
          <w:sz w:val="24"/>
          <w:szCs w:val="24"/>
        </w:rPr>
        <w:t xml:space="preserve"> </w:t>
      </w:r>
    </w:p>
    <w:p w14:paraId="369165AF" w14:textId="5AA2D746" w:rsidR="00F34750" w:rsidRDefault="007D4193" w:rsidP="00641F2B">
      <w:pPr>
        <w:spacing w:before="197" w:line="360" w:lineRule="auto"/>
        <w:ind w:left="1" w:right="-40"/>
        <w:rPr>
          <w:rFonts w:ascii="Arial" w:hAnsi="Arial" w:cs="Arial"/>
          <w:color w:val="000000"/>
          <w:sz w:val="24"/>
          <w:szCs w:val="24"/>
        </w:rPr>
      </w:pPr>
      <w:r w:rsidRPr="00ED2FF9">
        <w:rPr>
          <w:rFonts w:ascii="Arial" w:hAnsi="Arial" w:cs="Arial"/>
          <w:color w:val="000000"/>
          <w:sz w:val="24"/>
          <w:szCs w:val="24"/>
        </w:rPr>
        <w:t xml:space="preserve">For active awards, including awards that have been issued in </w:t>
      </w:r>
      <w:r w:rsidR="0007005F">
        <w:rPr>
          <w:rFonts w:ascii="Arial" w:hAnsi="Arial" w:cs="Arial"/>
          <w:color w:val="000000"/>
          <w:sz w:val="24"/>
          <w:szCs w:val="24"/>
        </w:rPr>
        <w:t>fiscal year (</w:t>
      </w:r>
      <w:r w:rsidRPr="00ED2FF9">
        <w:rPr>
          <w:rFonts w:ascii="Arial" w:hAnsi="Arial" w:cs="Arial"/>
          <w:color w:val="000000"/>
          <w:sz w:val="24"/>
          <w:szCs w:val="24"/>
        </w:rPr>
        <w:t>F</w:t>
      </w:r>
      <w:r w:rsidRPr="00ED2FF9">
        <w:rPr>
          <w:rFonts w:ascii="Arial" w:hAnsi="Arial" w:cs="Arial"/>
          <w:color w:val="000000"/>
          <w:spacing w:val="-10"/>
          <w:sz w:val="24"/>
          <w:szCs w:val="24"/>
        </w:rPr>
        <w:t>Y</w:t>
      </w:r>
      <w:r w:rsidR="0007005F">
        <w:rPr>
          <w:rFonts w:ascii="Arial" w:hAnsi="Arial" w:cs="Arial"/>
          <w:color w:val="000000"/>
          <w:sz w:val="24"/>
          <w:szCs w:val="24"/>
        </w:rPr>
        <w:t xml:space="preserve">) </w:t>
      </w:r>
      <w:r w:rsidRPr="00ED2FF9">
        <w:rPr>
          <w:rFonts w:ascii="Arial" w:hAnsi="Arial" w:cs="Arial"/>
          <w:color w:val="000000"/>
          <w:sz w:val="24"/>
          <w:szCs w:val="24"/>
        </w:rPr>
        <w:t>2025 (continuation and new) that were</w:t>
      </w:r>
      <w:r w:rsidRPr="00ED2FF9">
        <w:rPr>
          <w:rFonts w:ascii="Arial" w:hAnsi="Arial" w:cs="Arial"/>
          <w:sz w:val="24"/>
          <w:szCs w:val="24"/>
        </w:rPr>
        <w:t xml:space="preserve"> </w:t>
      </w:r>
      <w:r w:rsidRPr="00ED2FF9">
        <w:rPr>
          <w:rFonts w:ascii="Arial" w:hAnsi="Arial" w:cs="Arial"/>
          <w:color w:val="000000"/>
          <w:sz w:val="24"/>
          <w:szCs w:val="24"/>
        </w:rPr>
        <w:t>restricted to Executive Level II, if adequate funds are available, and if the salary cap increase is consistent with</w:t>
      </w:r>
      <w:r w:rsidRPr="00ED2FF9">
        <w:rPr>
          <w:rFonts w:ascii="Arial" w:hAnsi="Arial" w:cs="Arial"/>
          <w:sz w:val="24"/>
          <w:szCs w:val="24"/>
        </w:rPr>
        <w:t xml:space="preserve"> </w:t>
      </w:r>
      <w:r w:rsidRPr="00ED2FF9">
        <w:rPr>
          <w:rFonts w:ascii="Arial" w:hAnsi="Arial" w:cs="Arial"/>
          <w:color w:val="000000"/>
          <w:sz w:val="24"/>
          <w:szCs w:val="24"/>
        </w:rPr>
        <w:t>the institutional base salar</w:t>
      </w:r>
      <w:r w:rsidRPr="00ED2FF9">
        <w:rPr>
          <w:rFonts w:ascii="Arial" w:hAnsi="Arial" w:cs="Arial"/>
          <w:color w:val="000000"/>
          <w:spacing w:val="-18"/>
          <w:sz w:val="24"/>
          <w:szCs w:val="24"/>
        </w:rPr>
        <w:t>y</w:t>
      </w:r>
      <w:r w:rsidRPr="00ED2FF9">
        <w:rPr>
          <w:rFonts w:ascii="Arial" w:hAnsi="Arial" w:cs="Arial"/>
          <w:color w:val="000000"/>
          <w:sz w:val="24"/>
          <w:szCs w:val="24"/>
        </w:rPr>
        <w:t>, recipients may rebudget funds to accommodate the current Executive Level II</w:t>
      </w:r>
      <w:r w:rsidRPr="00ED2FF9">
        <w:rPr>
          <w:rFonts w:ascii="Arial" w:hAnsi="Arial" w:cs="Arial"/>
          <w:sz w:val="24"/>
          <w:szCs w:val="24"/>
        </w:rPr>
        <w:t xml:space="preserve"> </w:t>
      </w:r>
      <w:r w:rsidRPr="00ED2FF9">
        <w:rPr>
          <w:rFonts w:ascii="Arial" w:hAnsi="Arial" w:cs="Arial"/>
          <w:color w:val="000000"/>
          <w:sz w:val="24"/>
          <w:szCs w:val="24"/>
        </w:rPr>
        <w:t>salary level. Recipients may not draw down funds, whether direct or indirect costs, to pay salaries above the</w:t>
      </w:r>
      <w:r w:rsidRPr="00ED2FF9">
        <w:rPr>
          <w:rFonts w:ascii="Arial" w:hAnsi="Arial" w:cs="Arial"/>
          <w:sz w:val="24"/>
          <w:szCs w:val="24"/>
        </w:rPr>
        <w:t xml:space="preserve"> </w:t>
      </w:r>
      <w:r w:rsidRPr="00ED2FF9">
        <w:rPr>
          <w:rFonts w:ascii="Arial" w:hAnsi="Arial" w:cs="Arial"/>
          <w:color w:val="000000"/>
          <w:spacing w:val="-8"/>
          <w:sz w:val="24"/>
          <w:szCs w:val="24"/>
        </w:rPr>
        <w:t>salary rate limitation, and recipients must have established policies and procedures that are consistently applied</w:t>
      </w:r>
      <w:r w:rsidRPr="00ED2FF9">
        <w:rPr>
          <w:rFonts w:ascii="Arial" w:hAnsi="Arial" w:cs="Arial"/>
          <w:sz w:val="24"/>
          <w:szCs w:val="24"/>
        </w:rPr>
        <w:t xml:space="preserve"> </w:t>
      </w:r>
      <w:r w:rsidRPr="00ED2FF9">
        <w:rPr>
          <w:rFonts w:ascii="Arial" w:hAnsi="Arial" w:cs="Arial"/>
          <w:color w:val="000000"/>
          <w:sz w:val="24"/>
          <w:szCs w:val="24"/>
        </w:rPr>
        <w:t>regardless of the source of funds.</w:t>
      </w:r>
    </w:p>
    <w:p w14:paraId="36EDD3B4" w14:textId="5EFDD506" w:rsidR="00F34750" w:rsidRPr="00716859" w:rsidRDefault="00F34750" w:rsidP="00F34750">
      <w:pPr>
        <w:spacing w:before="197" w:line="360" w:lineRule="auto"/>
        <w:ind w:left="1" w:right="-40"/>
        <w:rPr>
          <w:rFonts w:ascii="Arial" w:hAnsi="Arial" w:cs="Arial"/>
          <w:b/>
          <w:bCs/>
          <w:color w:val="00355D"/>
          <w:sz w:val="24"/>
          <w:szCs w:val="24"/>
        </w:rPr>
      </w:pPr>
      <w:r w:rsidRPr="00716859">
        <w:rPr>
          <w:rFonts w:ascii="Arial" w:hAnsi="Arial" w:cs="Arial"/>
          <w:b/>
          <w:bCs/>
          <w:color w:val="00355D"/>
          <w:sz w:val="24"/>
          <w:szCs w:val="24"/>
        </w:rPr>
        <w:t>Inquiries</w:t>
      </w:r>
    </w:p>
    <w:p w14:paraId="18204D66" w14:textId="147B5C09" w:rsidR="00F34750" w:rsidRPr="00ED2FF9" w:rsidRDefault="00F34750" w:rsidP="00ED2FF9">
      <w:pPr>
        <w:spacing w:before="197" w:line="360" w:lineRule="auto"/>
        <w:ind w:left="1" w:right="-40"/>
        <w:rPr>
          <w:rFonts w:ascii="Arial" w:hAnsi="Arial" w:cs="Arial"/>
          <w:color w:val="010302"/>
          <w:sz w:val="24"/>
          <w:szCs w:val="24"/>
        </w:rPr>
        <w:sectPr w:rsidR="00F34750" w:rsidRPr="00ED2FF9" w:rsidSect="00F34750">
          <w:type w:val="continuous"/>
          <w:pgSz w:w="12250" w:h="15850"/>
          <w:pgMar w:top="1440" w:right="1440" w:bottom="1440" w:left="1440" w:header="706" w:footer="706" w:gutter="0"/>
          <w:cols w:space="720"/>
          <w:docGrid w:linePitch="360"/>
        </w:sectPr>
      </w:pPr>
      <w:r>
        <w:rPr>
          <w:rFonts w:ascii="Arial" w:hAnsi="Arial" w:cs="Arial"/>
          <w:color w:val="000000"/>
          <w:sz w:val="24"/>
          <w:szCs w:val="24"/>
        </w:rPr>
        <w:t xml:space="preserve">Questions about specific awards may be directed to the Grants Management Specialist identified on the Notice of Award.  Questions related to the NIH salary cap policy may be directed to the Division of Grants Policy at </w:t>
      </w:r>
      <w:hyperlink r:id="rId12" w:history="1">
        <w:r w:rsidRPr="0007005F">
          <w:rPr>
            <w:rStyle w:val="Hyperlink"/>
            <w:rFonts w:ascii="Arial" w:hAnsi="Arial" w:cs="Arial"/>
            <w:color w:val="1F6FB1"/>
            <w:sz w:val="24"/>
            <w:szCs w:val="24"/>
          </w:rPr>
          <w:t>grantspolicy@nih.gov</w:t>
        </w:r>
      </w:hyperlink>
      <w:r w:rsidR="003E014F">
        <w:rPr>
          <w:rFonts w:ascii="Arial" w:hAnsi="Arial" w:cs="Arial"/>
          <w:color w:val="000000"/>
          <w:sz w:val="24"/>
          <w:szCs w:val="24"/>
        </w:rPr>
        <w:t>.</w:t>
      </w:r>
    </w:p>
    <w:p w14:paraId="0999F219" w14:textId="40DDCF93" w:rsidR="00EE2F8A" w:rsidRPr="00ED2FF9" w:rsidRDefault="00892EFA" w:rsidP="00ED2FF9">
      <w:pPr>
        <w:spacing w:line="360" w:lineRule="auto"/>
        <w:rPr>
          <w:rFonts w:ascii="Arial" w:hAnsi="Arial" w:cs="Arial"/>
          <w:sz w:val="24"/>
          <w:szCs w:val="24"/>
        </w:rPr>
      </w:pPr>
      <w:r>
        <w:rPr>
          <w:noProof/>
        </w:rPr>
        <mc:AlternateContent>
          <mc:Choice Requires="wps">
            <w:drawing>
              <wp:anchor distT="0" distB="0" distL="114300" distR="114300" simplePos="0" relativeHeight="251638784" behindDoc="0" locked="0" layoutInCell="1" allowOverlap="1" wp14:anchorId="546D8B79" wp14:editId="3FEB4C60">
                <wp:simplePos x="0" y="0"/>
                <wp:positionH relativeFrom="page">
                  <wp:posOffset>85090</wp:posOffset>
                </wp:positionH>
                <wp:positionV relativeFrom="page">
                  <wp:posOffset>2150745</wp:posOffset>
                </wp:positionV>
                <wp:extent cx="10795" cy="21590"/>
                <wp:effectExtent l="0" t="0" r="0" b="0"/>
                <wp:wrapNone/>
                <wp:docPr id="130" name="Freeform 1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V="1">
                          <a:off x="0" y="0"/>
                          <a:ext cx="10795" cy="21590"/>
                        </a:xfrm>
                        <a:custGeom>
                          <a:avLst/>
                          <a:gdLst/>
                          <a:ahLst/>
                          <a:cxnLst/>
                          <a:rect l="l" t="t" r="r" b="b"/>
                          <a:pathLst>
                            <a:path w="12700" h="25400">
                              <a:moveTo>
                                <a:pt x="0" y="25400"/>
                              </a:moveTo>
                              <a:lnTo>
                                <a:pt x="0" y="0"/>
                              </a:lnTo>
                              <a:lnTo>
                                <a:pt x="12700" y="12700"/>
                              </a:lnTo>
                              <a:lnTo>
                                <a:pt x="12700" y="25400"/>
                              </a:lnTo>
                            </a:path>
                          </a:pathLst>
                        </a:custGeom>
                        <a:solidFill>
                          <a:srgbClr val="9A9A9A">
                            <a:alpha val="100000"/>
                          </a:srgbClr>
                        </a:solidFill>
                        <a:ln w="10667">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w:pict>
              <v:shape w14:anchorId="6F4869C9" id="Freeform 130" o:spid="_x0000_s1026" style="position:absolute;margin-left:6.7pt;margin-top:169.35pt;width:.85pt;height:1.7pt;flip:y;z-index:2516387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2700,25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" path="m,25400l,,12700,12700r,12700e" fillcolor="#9a9a9a" stroked="f" strokeweight=".29631mm">
                <v:path arrowok="t"/>
                <w10:wrap anchorx="page" anchory="page"/>
              </v:shape>
            </w:pict>
          </mc:Fallback>
        </mc:AlternateContent>
      </w:r>
      <w:r>
        <w:rPr>
          <w:noProof/>
        </w:rPr>
        <mc:AlternateContent>
          <mc:Choice Requires="wps">
            <w:drawing>
              <wp:anchor distT="0" distB="0" distL="114300" distR="114300" simplePos="0" relativeHeight="251635712" behindDoc="0" locked="0" layoutInCell="1" allowOverlap="1" wp14:anchorId="09ED7942" wp14:editId="4DDE9D41">
                <wp:simplePos x="0" y="0"/>
                <wp:positionH relativeFrom="page">
                  <wp:posOffset>7680960</wp:posOffset>
                </wp:positionH>
                <wp:positionV relativeFrom="page">
                  <wp:posOffset>2150745</wp:posOffset>
                </wp:positionV>
                <wp:extent cx="10795" cy="21590"/>
                <wp:effectExtent l="0" t="0" r="0" b="0"/>
                <wp:wrapNone/>
                <wp:docPr id="132" name="Freeform 13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flipV="1">
                          <a:off x="0" y="0"/>
                          <a:ext cx="10795" cy="21590"/>
                        </a:xfrm>
                        <a:custGeom>
                          <a:avLst/>
                          <a:gdLst/>
                          <a:ahLst/>
                          <a:cxnLst/>
                          <a:rect l="l" t="t" r="r" b="b"/>
                          <a:pathLst>
                            <a:path w="12700" h="25400">
                              <a:moveTo>
                                <a:pt x="0" y="12700"/>
                              </a:moveTo>
                              <a:lnTo>
                                <a:pt x="0" y="0"/>
                              </a:lnTo>
                              <a:lnTo>
                                <a:pt x="12700" y="0"/>
                              </a:lnTo>
                              <a:lnTo>
                                <a:pt x="12700" y="25400"/>
                              </a:lnTo>
                            </a:path>
                          </a:pathLst>
                        </a:custGeom>
                        <a:solidFill>
                          <a:srgbClr val="EEEEEE">
                            <a:alpha val="100000"/>
                          </a:srgbClr>
                        </a:solidFill>
                        <a:ln w="10667">
                          <a:noFill/>
                        </a:ln>
                      </wps:spPr>
                      <wps:style>
                        <a:lnRef idx="2">
                          <a:schemeClr val="accent1">
                            <a:shade val="50000"/>
                          </a:schemeClr>
                        </a:lnRef>
                        <a:fillRef idx="1">
                          <a:schemeClr val="accent1"/>
                        </a:fillRef>
                        <a:effectRef idx="0">
                          <a:schemeClr val="accent1"/>
                        </a:effectRef>
                        <a:fontRef idx="minor">
                          <a:schemeClr val="lt1"/>
                        </a:fontRef>
                      </wps:style>
                      <wps:bodyPr/>
                    </wps:wsp>
                  </a:graphicData>
                </a:graphic>
                <wp14:sizeRelH relativeFrom="page">
                  <wp14:pctWidth>0</wp14:pctWidth>
                </wp14:sizeRelH>
                <wp14:sizeRelV relativeFrom="page">
                  <wp14:pctHeight>0</wp14:pctHeight>
                </wp14:sizeRelV>
              </wp:anchor>
            </w:drawing>
          </mc:Choice>
          <mc:Fallback>
            <w:pict>
              <v:shape w14:anchorId="23275D60" id="Freeform 132" o:spid="_x0000_s1026" style="position:absolute;margin-left:604.8pt;margin-top:169.35pt;width:.85pt;height:1.7pt;flip:y;z-index:2516357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2700,25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" path="m,12700l,,12700,r,25400e" fillcolor="#eee" stroked="f" strokeweight=".29631mm">
                <v:path arrowok="t"/>
                <w10:wrap anchorx="page" anchory="page"/>
              </v:shape>
            </w:pict>
          </mc:Fallback>
        </mc:AlternateContent>
      </w:r>
    </w:p>
    <w:sectPr w:rsidR="00EE2F8A" w:rsidRPr="00ED2FF9">
      <w:type w:val="continuous"/>
      <w:pgSz w:w="12250" w:h="15850"/>
      <w:pgMar w:top="0" w:right="179" w:bottom="400" w:left="11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72B77EC"/>
    <w:multiLevelType w:val="hybridMultilevel"/>
    <w:tmpl w:val="D3DAECAA"/>
    <w:lvl w:ilvl="0" w:tplc="04090001">
      <w:start w:val="1"/>
      <w:numFmt w:val="bullet"/>
      <w:lvlText w:val=""/>
      <w:lvlJc w:val="left"/>
      <w:pPr>
        <w:ind w:left="361" w:hanging="360"/>
      </w:pPr>
      <w:rPr>
        <w:rFonts w:ascii="Symbol" w:hAnsi="Symbol" w:hint="default"/>
      </w:rPr>
    </w:lvl>
    <w:lvl w:ilvl="1" w:tplc="04090003" w:tentative="1">
      <w:start w:val="1"/>
      <w:numFmt w:val="bullet"/>
      <w:lvlText w:val="o"/>
      <w:lvlJc w:val="left"/>
      <w:pPr>
        <w:ind w:left="1081" w:hanging="360"/>
      </w:pPr>
      <w:rPr>
        <w:rFonts w:ascii="Courier New" w:hAnsi="Courier New" w:cs="Courier New" w:hint="default"/>
      </w:rPr>
    </w:lvl>
    <w:lvl w:ilvl="2" w:tplc="04090005" w:tentative="1">
      <w:start w:val="1"/>
      <w:numFmt w:val="bullet"/>
      <w:lvlText w:val=""/>
      <w:lvlJc w:val="left"/>
      <w:pPr>
        <w:ind w:left="1801" w:hanging="360"/>
      </w:pPr>
      <w:rPr>
        <w:rFonts w:ascii="Wingdings" w:hAnsi="Wingdings" w:hint="default"/>
      </w:rPr>
    </w:lvl>
    <w:lvl w:ilvl="3" w:tplc="04090001" w:tentative="1">
      <w:start w:val="1"/>
      <w:numFmt w:val="bullet"/>
      <w:lvlText w:val=""/>
      <w:lvlJc w:val="left"/>
      <w:pPr>
        <w:ind w:left="2521" w:hanging="360"/>
      </w:pPr>
      <w:rPr>
        <w:rFonts w:ascii="Symbol" w:hAnsi="Symbol" w:hint="default"/>
      </w:rPr>
    </w:lvl>
    <w:lvl w:ilvl="4" w:tplc="04090003" w:tentative="1">
      <w:start w:val="1"/>
      <w:numFmt w:val="bullet"/>
      <w:lvlText w:val="o"/>
      <w:lvlJc w:val="left"/>
      <w:pPr>
        <w:ind w:left="3241" w:hanging="360"/>
      </w:pPr>
      <w:rPr>
        <w:rFonts w:ascii="Courier New" w:hAnsi="Courier New" w:cs="Courier New" w:hint="default"/>
      </w:rPr>
    </w:lvl>
    <w:lvl w:ilvl="5" w:tplc="04090005" w:tentative="1">
      <w:start w:val="1"/>
      <w:numFmt w:val="bullet"/>
      <w:lvlText w:val=""/>
      <w:lvlJc w:val="left"/>
      <w:pPr>
        <w:ind w:left="3961" w:hanging="360"/>
      </w:pPr>
      <w:rPr>
        <w:rFonts w:ascii="Wingdings" w:hAnsi="Wingdings" w:hint="default"/>
      </w:rPr>
    </w:lvl>
    <w:lvl w:ilvl="6" w:tplc="04090001" w:tentative="1">
      <w:start w:val="1"/>
      <w:numFmt w:val="bullet"/>
      <w:lvlText w:val=""/>
      <w:lvlJc w:val="left"/>
      <w:pPr>
        <w:ind w:left="4681" w:hanging="360"/>
      </w:pPr>
      <w:rPr>
        <w:rFonts w:ascii="Symbol" w:hAnsi="Symbol" w:hint="default"/>
      </w:rPr>
    </w:lvl>
    <w:lvl w:ilvl="7" w:tplc="04090003" w:tentative="1">
      <w:start w:val="1"/>
      <w:numFmt w:val="bullet"/>
      <w:lvlText w:val="o"/>
      <w:lvlJc w:val="left"/>
      <w:pPr>
        <w:ind w:left="5401" w:hanging="360"/>
      </w:pPr>
      <w:rPr>
        <w:rFonts w:ascii="Courier New" w:hAnsi="Courier New" w:cs="Courier New" w:hint="default"/>
      </w:rPr>
    </w:lvl>
    <w:lvl w:ilvl="8" w:tplc="04090005" w:tentative="1">
      <w:start w:val="1"/>
      <w:numFmt w:val="bullet"/>
      <w:lvlText w:val=""/>
      <w:lvlJc w:val="left"/>
      <w:pPr>
        <w:ind w:left="6121"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writeProtection w:recommended="1"/>
  <w:zoom w:percent="100"/>
  <w:proofState w:spelling="clean" w:grammar="clean"/>
  <w:defaultTabStop w:val="720"/>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2F8A"/>
    <w:rsid w:val="0003092F"/>
    <w:rsid w:val="0007005F"/>
    <w:rsid w:val="0009648C"/>
    <w:rsid w:val="000B27E1"/>
    <w:rsid w:val="00120A74"/>
    <w:rsid w:val="003E014F"/>
    <w:rsid w:val="00641F2B"/>
    <w:rsid w:val="00716859"/>
    <w:rsid w:val="007D4193"/>
    <w:rsid w:val="00892EFA"/>
    <w:rsid w:val="009558A3"/>
    <w:rsid w:val="00AC3657"/>
    <w:rsid w:val="00CE22C0"/>
    <w:rsid w:val="00CE5F74"/>
    <w:rsid w:val="00DB02F2"/>
    <w:rsid w:val="00E31626"/>
    <w:rsid w:val="00ED2FF9"/>
    <w:rsid w:val="00EE2F8A"/>
    <w:rsid w:val="00F347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070F8B88"/>
  <w15:docId w15:val="{E71E34D1-5928-4F11-8676-B9FECAC6E4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spacing w:before="159"/>
      <w:ind w:left="511"/>
    </w:pPr>
    <w:rPr>
      <w:rFonts w:ascii="Algerian" w:eastAsia="Algerian" w:hAnsi="Algerian"/>
      <w:sz w:val="24"/>
      <w:szCs w:val="24"/>
    </w:rPr>
  </w:style>
  <w:style w:type="paragraph" w:styleId="ListParagraph">
    <w:name w:val="List Paragraph"/>
    <w:basedOn w:val="Normal"/>
    <w:uiPriority w:val="1"/>
    <w:qFormat/>
  </w:style>
  <w:style w:type="paragraph" w:customStyle="1" w:styleId="TableParagraph">
    <w:name w:val="Table Paragraph"/>
    <w:basedOn w:val="Normal"/>
    <w:uiPriority w:val="1"/>
    <w:qFormat/>
  </w:style>
  <w:style w:type="table" w:styleId="TableGrid">
    <w:name w:val="Table Grid"/>
    <w:basedOn w:val="TableNormal"/>
    <w:uiPriority w:val="59"/>
    <w:rsid w:val="00D96C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Hyperlink">
    <w:name w:val="Hyperlink"/>
    <w:basedOn w:val="DefaultParagraphFont"/>
    <w:uiPriority w:val="99"/>
    <w:unhideWhenUsed/>
    <w:rsid w:val="00ED2FF9"/>
    <w:rPr>
      <w:color w:val="0000FF" w:themeColor="hyperlink"/>
      <w:u w:val="single"/>
    </w:rPr>
  </w:style>
  <w:style w:type="character" w:styleId="UnresolvedMention">
    <w:name w:val="Unresolved Mention"/>
    <w:basedOn w:val="DefaultParagraphFont"/>
    <w:uiPriority w:val="99"/>
    <w:semiHidden/>
    <w:unhideWhenUsed/>
    <w:rsid w:val="00ED2FF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grants.nih.gov/grants/guide/notice-files/NOT-OD-24-110.html"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grants.nih.gov/grants/guide/notice-files/NOT-OD-25-010.html" TargetMode="External"/><Relationship Id="rId12" Type="http://schemas.openxmlformats.org/officeDocument/2006/relationships/hyperlink" Target="file:///\\swnasdep.swmed.org\accounting\B7FISCAL\Business%20Process%20&amp;%20Outreach\Doc%20Library%20Update%20Project\Doc%20Library%20Review%202026\grantspolicy@nih.gov"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grants.nih.gov/grants/guide/notice-files/NOT-OD-25-025.html" TargetMode="External"/><Relationship Id="rId11" Type="http://schemas.openxmlformats.org/officeDocument/2006/relationships/hyperlink" Target="https://www.congress.gov/bill/119th-congress/house-bill/1968" TargetMode="External"/><Relationship Id="rId5" Type="http://schemas.openxmlformats.org/officeDocument/2006/relationships/hyperlink" Target="https://grants.nih.gov/grants/guide/notice-files/NOT-OD-25-054.html" TargetMode="External"/><Relationship Id="rId10" Type="http://schemas.openxmlformats.org/officeDocument/2006/relationships/hyperlink" Target="https://grants.nih.gov/grants/guide/notice-files/NOT-OD-25-025.html" TargetMode="External"/><Relationship Id="rId4" Type="http://schemas.openxmlformats.org/officeDocument/2006/relationships/webSettings" Target="webSettings.xml"/><Relationship Id="rId9" Type="http://schemas.openxmlformats.org/officeDocument/2006/relationships/hyperlink" Target="https://grants.nih.gov/grants/guide/notice-files/NOT-OD-24-109.html"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Times New Roman"/>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Times New Roman"/>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549</Words>
  <Characters>3135</Characters>
  <Application>Microsoft Office Word</Application>
  <DocSecurity>2</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UT Southwestern Medical Center at Dallas</Company>
  <LinksUpToDate>false</LinksUpToDate>
  <CharactersWithSpaces>3677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Beth Bailey</dc:creator>
  <cp:lastModifiedBy>Beth Bailey</cp:lastModifiedBy>
  <cp:revision>3</cp:revision>
  <dcterms:created xsi:type="dcterms:W3CDTF">2025-07-30T18:39:00Z</dcterms:created>
  <dcterms:modified xsi:type="dcterms:W3CDTF">2025-07-30T18:39:00Z</dcterms:modified>
</cp:coreProperties>
</file>