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EA2AD6" w:rsidP="009A727D">
      <w:pPr>
        <w:jc w:val="center"/>
      </w:pPr>
      <w:r>
        <w:t>Module L: Clinical Trial Accounting</w:t>
      </w:r>
      <w:r w:rsidR="009A727D">
        <w:t xml:space="preserve"> </w:t>
      </w:r>
      <w:r>
        <w:t>&amp; Analysis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636435" w:rsidRDefault="002775B2" w:rsidP="002775B2">
      <w:pPr>
        <w:pStyle w:val="ListParagraph"/>
        <w:numPr>
          <w:ilvl w:val="0"/>
          <w:numId w:val="1"/>
        </w:numPr>
      </w:pPr>
      <w:r>
        <w:t>Clinical Research Overview</w:t>
      </w:r>
    </w:p>
    <w:p w:rsidR="00EF5FD0" w:rsidRDefault="002775B2" w:rsidP="002775B2">
      <w:pPr>
        <w:pStyle w:val="ListParagraph"/>
        <w:numPr>
          <w:ilvl w:val="0"/>
          <w:numId w:val="8"/>
        </w:numPr>
      </w:pPr>
      <w:r w:rsidRPr="002775B2">
        <w:t>Clinical Research Administration is a broad enterprise that requires the collaboration of multiple departments across Campus and multiple teams within the central administrative office.  Clinical Research embraces a continuum of studies involving interactions with patients, diagnostic clinical materials and/or data.</w:t>
      </w:r>
    </w:p>
    <w:p w:rsidR="002775B2" w:rsidRDefault="002775B2" w:rsidP="002775B2">
      <w:pPr>
        <w:pStyle w:val="ListParagraph"/>
        <w:numPr>
          <w:ilvl w:val="0"/>
          <w:numId w:val="18"/>
        </w:numPr>
      </w:pPr>
      <w:r>
        <w:t>Principal Investigators (PIs) are individuals designated to direct the project being supported by a grant or industry agreement and must ensure funds are spent appropriately for each project</w:t>
      </w:r>
    </w:p>
    <w:p w:rsidR="002775B2" w:rsidRDefault="002775B2" w:rsidP="002775B2">
      <w:pPr>
        <w:pStyle w:val="ListParagraph"/>
        <w:numPr>
          <w:ilvl w:val="0"/>
          <w:numId w:val="18"/>
        </w:numPr>
      </w:pPr>
      <w:r>
        <w:t>Sponsored Programs Administration (SPA) assists</w:t>
      </w:r>
      <w:r w:rsidR="00AA0572">
        <w:t xml:space="preserve"> researchers with applying for funding and managing their agreements, including budgeting and execution of clinical trial agreements</w:t>
      </w:r>
    </w:p>
    <w:p w:rsidR="00AA0572" w:rsidRDefault="00AA0572" w:rsidP="00AA0572">
      <w:pPr>
        <w:pStyle w:val="ListParagraph"/>
        <w:numPr>
          <w:ilvl w:val="0"/>
          <w:numId w:val="19"/>
        </w:numPr>
      </w:pPr>
      <w:r>
        <w:t xml:space="preserve">Clinical Trial Accounting &amp; Analysis (CTAA) is responsible for start-up billing and invoicing of clinical trials, </w:t>
      </w:r>
      <w:proofErr w:type="spellStart"/>
      <w:r>
        <w:t>ClinCard</w:t>
      </w:r>
      <w:proofErr w:type="spellEnd"/>
      <w:r>
        <w:t xml:space="preserve"> administration, and clinical trial budget reviews and maintenance</w:t>
      </w:r>
    </w:p>
    <w:p w:rsidR="008F7927" w:rsidRDefault="008F7927" w:rsidP="008F7927">
      <w:pPr>
        <w:pStyle w:val="ListParagraph"/>
        <w:numPr>
          <w:ilvl w:val="0"/>
          <w:numId w:val="18"/>
        </w:numPr>
      </w:pPr>
      <w:r>
        <w:t xml:space="preserve">Acronyms </w:t>
      </w:r>
      <w:r w:rsidR="005D3284">
        <w:t xml:space="preserve">commonly </w:t>
      </w:r>
      <w:r>
        <w:t>used</w:t>
      </w:r>
      <w:r w:rsidR="005D3284">
        <w:t xml:space="preserve"> by CTAA</w:t>
      </w:r>
      <w:r>
        <w:t>:</w:t>
      </w:r>
    </w:p>
    <w:p w:rsidR="008F7927" w:rsidRDefault="008F7927" w:rsidP="008F7927">
      <w:pPr>
        <w:ind w:firstLine="360"/>
      </w:pPr>
      <w:r>
        <w:rPr>
          <w:noProof/>
        </w:rPr>
        <w:drawing>
          <wp:inline distT="0" distB="0" distL="0" distR="0" wp14:anchorId="174C8ED0" wp14:editId="3369EECA">
            <wp:extent cx="5524500" cy="2129155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2129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6B5E" w:rsidRDefault="00666B5E" w:rsidP="00666B5E">
      <w:pPr>
        <w:pStyle w:val="ListParagraph"/>
        <w:ind w:left="2160"/>
      </w:pPr>
    </w:p>
    <w:p w:rsidR="009A727D" w:rsidRDefault="002775B2" w:rsidP="009A727D">
      <w:pPr>
        <w:pStyle w:val="ListParagraph"/>
        <w:numPr>
          <w:ilvl w:val="0"/>
          <w:numId w:val="1"/>
        </w:numPr>
      </w:pPr>
      <w:r>
        <w:t>Clinical Trial Finance Overview</w:t>
      </w:r>
    </w:p>
    <w:p w:rsidR="00BF2115" w:rsidRDefault="00E63A18" w:rsidP="00015397">
      <w:pPr>
        <w:pStyle w:val="ListParagraph"/>
        <w:numPr>
          <w:ilvl w:val="0"/>
          <w:numId w:val="2"/>
        </w:numPr>
      </w:pPr>
      <w:r>
        <w:t xml:space="preserve">Budgets </w:t>
      </w:r>
      <w:r w:rsidR="008933EC">
        <w:t>should</w:t>
      </w:r>
      <w:r>
        <w:t xml:space="preserve"> provide financial security and non-reliance on additional departmental income sources</w:t>
      </w:r>
      <w:r w:rsidR="00960102">
        <w:t xml:space="preserve">. </w:t>
      </w:r>
      <w:r w:rsidR="00E212E8">
        <w:t>Components of a budget</w:t>
      </w:r>
      <w:r w:rsidR="00632FC8">
        <w:t>:</w:t>
      </w:r>
    </w:p>
    <w:p w:rsidR="00BF2115" w:rsidRDefault="00632FC8" w:rsidP="00BF2115">
      <w:pPr>
        <w:pStyle w:val="ListParagraph"/>
        <w:numPr>
          <w:ilvl w:val="0"/>
          <w:numId w:val="12"/>
        </w:numPr>
      </w:pPr>
      <w:r>
        <w:t>Revenue</w:t>
      </w:r>
      <w:r w:rsidR="009058D3">
        <w:t xml:space="preserve"> - based on number of patients accrued and enrolled into a study and any associated fees not captured in budget</w:t>
      </w:r>
    </w:p>
    <w:p w:rsidR="00BF2115" w:rsidRDefault="00632FC8" w:rsidP="009058D3">
      <w:pPr>
        <w:pStyle w:val="ListParagraph"/>
        <w:numPr>
          <w:ilvl w:val="0"/>
          <w:numId w:val="12"/>
        </w:numPr>
      </w:pPr>
      <w:r>
        <w:t>Expenses</w:t>
      </w:r>
      <w:r w:rsidR="009058D3">
        <w:t xml:space="preserve"> - </w:t>
      </w:r>
      <w:r w:rsidR="008E3A36">
        <w:t>UTSW</w:t>
      </w:r>
      <w:r w:rsidRPr="00632FC8">
        <w:t xml:space="preserve"> builds its Research Fee Schedule from the Centers for Medicare and Medicaid Services </w:t>
      </w:r>
      <w:r w:rsidR="009058D3">
        <w:t>(CMS) published fee schedules</w:t>
      </w:r>
    </w:p>
    <w:p w:rsidR="00632FC8" w:rsidRDefault="00632FC8" w:rsidP="009058D3">
      <w:pPr>
        <w:pStyle w:val="ListParagraph"/>
        <w:numPr>
          <w:ilvl w:val="0"/>
          <w:numId w:val="12"/>
        </w:numPr>
      </w:pPr>
      <w:r>
        <w:t>Fees</w:t>
      </w:r>
      <w:r w:rsidR="009058D3">
        <w:t xml:space="preserve"> </w:t>
      </w:r>
      <w:r w:rsidR="008933EC">
        <w:t>- such as</w:t>
      </w:r>
      <w:r w:rsidR="00960102">
        <w:t xml:space="preserve"> IRB/HRPP, Coverage Analysis, Start up and Ancillary fees</w:t>
      </w:r>
    </w:p>
    <w:p w:rsidR="008E3A36" w:rsidRDefault="008E3A36" w:rsidP="009058D3">
      <w:pPr>
        <w:pStyle w:val="ListParagraph"/>
        <w:numPr>
          <w:ilvl w:val="0"/>
          <w:numId w:val="12"/>
        </w:numPr>
      </w:pPr>
      <w:r>
        <w:t>Personnel Time</w:t>
      </w:r>
      <w:r w:rsidR="009058D3">
        <w:t xml:space="preserve"> - assessed by actual personnel and labor expenses, including pre-screening efforts, chart reviews and administrative time for the Study</w:t>
      </w:r>
    </w:p>
    <w:p w:rsidR="009058D3" w:rsidRDefault="009058D3" w:rsidP="00E212E8">
      <w:pPr>
        <w:pStyle w:val="ListParagraph"/>
        <w:numPr>
          <w:ilvl w:val="0"/>
          <w:numId w:val="12"/>
        </w:numPr>
      </w:pPr>
      <w:r>
        <w:lastRenderedPageBreak/>
        <w:t>Facilities and Administration (F&amp;A)</w:t>
      </w:r>
      <w:r w:rsidR="00E212E8">
        <w:t xml:space="preserve"> or “indirect costs” – vary </w:t>
      </w:r>
      <w:r w:rsidR="005D3284">
        <w:t>depending on sponsor.</w:t>
      </w:r>
      <w:r w:rsidR="008933EC">
        <w:t xml:space="preserve">  See</w:t>
      </w:r>
      <w:r w:rsidR="00E212E8">
        <w:t xml:space="preserve"> </w:t>
      </w:r>
      <w:hyperlink r:id="rId6" w:history="1">
        <w:r w:rsidR="00E212E8">
          <w:rPr>
            <w:rStyle w:val="Hyperlink"/>
          </w:rPr>
          <w:t>SPA website</w:t>
        </w:r>
      </w:hyperlink>
      <w:r w:rsidR="00E212E8">
        <w:t xml:space="preserve"> </w:t>
      </w:r>
      <w:r w:rsidR="008933EC">
        <w:t>for current rates.</w:t>
      </w:r>
    </w:p>
    <w:p w:rsidR="00632FC8" w:rsidRDefault="005D3284" w:rsidP="00960102">
      <w:pPr>
        <w:pStyle w:val="ListParagraph"/>
        <w:numPr>
          <w:ilvl w:val="0"/>
          <w:numId w:val="12"/>
        </w:numPr>
      </w:pPr>
      <w:r>
        <w:t xml:space="preserve">Note: </w:t>
      </w:r>
      <w:r w:rsidR="00960102">
        <w:t>d</w:t>
      </w:r>
      <w:r w:rsidR="00960102" w:rsidRPr="00960102">
        <w:t>ifferent Sponsors will be budgeted different ways,</w:t>
      </w:r>
      <w:r w:rsidR="008933EC">
        <w:t xml:space="preserve"> depending on whether they are Federal, N</w:t>
      </w:r>
      <w:r w:rsidR="00960102" w:rsidRPr="00960102">
        <w:t>o</w:t>
      </w:r>
      <w:r w:rsidR="00960102">
        <w:t>n</w:t>
      </w:r>
      <w:r>
        <w:t>-</w:t>
      </w:r>
      <w:r w:rsidR="008933EC">
        <w:t>federal, or I</w:t>
      </w:r>
      <w:r w:rsidR="00960102" w:rsidRPr="00960102">
        <w:t>ndustry sponsors</w:t>
      </w:r>
      <w:r w:rsidR="00960102">
        <w:t xml:space="preserve"> </w:t>
      </w:r>
    </w:p>
    <w:p w:rsidR="00015397" w:rsidRDefault="005D3284" w:rsidP="00015397">
      <w:pPr>
        <w:pStyle w:val="ListParagraph"/>
        <w:numPr>
          <w:ilvl w:val="0"/>
          <w:numId w:val="2"/>
        </w:numPr>
      </w:pPr>
      <w:r>
        <w:t xml:space="preserve">Start-Up </w:t>
      </w:r>
      <w:r w:rsidR="00E63A18">
        <w:t>Invoicing</w:t>
      </w:r>
    </w:p>
    <w:p w:rsidR="00015397" w:rsidRDefault="00450A28" w:rsidP="00015397">
      <w:pPr>
        <w:pStyle w:val="ListParagraph"/>
        <w:numPr>
          <w:ilvl w:val="0"/>
          <w:numId w:val="5"/>
        </w:numPr>
      </w:pPr>
      <w:r>
        <w:t xml:space="preserve">Fully executed contracts are the “source of truth” for start-up costs. </w:t>
      </w:r>
      <w:r w:rsidR="005D3284">
        <w:t xml:space="preserve"> </w:t>
      </w:r>
      <w:r>
        <w:t xml:space="preserve">Invoices are sent from </w:t>
      </w:r>
      <w:proofErr w:type="spellStart"/>
      <w:r>
        <w:t>Velos</w:t>
      </w:r>
      <w:proofErr w:type="spellEnd"/>
      <w:r>
        <w:t xml:space="preserve"> and populate via an interface with </w:t>
      </w:r>
      <w:proofErr w:type="spellStart"/>
      <w:r>
        <w:t>Peoplesoft</w:t>
      </w:r>
      <w:proofErr w:type="spellEnd"/>
      <w:r>
        <w:t xml:space="preserve"> into the General Ledger.</w:t>
      </w:r>
    </w:p>
    <w:p w:rsidR="008F7927" w:rsidRDefault="00450A28" w:rsidP="005D3284">
      <w:pPr>
        <w:pStyle w:val="ListParagraph"/>
        <w:numPr>
          <w:ilvl w:val="0"/>
          <w:numId w:val="15"/>
        </w:numPr>
      </w:pPr>
      <w:r>
        <w:t xml:space="preserve">eAgreements </w:t>
      </w:r>
      <w:proofErr w:type="spellStart"/>
      <w:r>
        <w:t>Smartform</w:t>
      </w:r>
      <w:proofErr w:type="spellEnd"/>
      <w:r>
        <w:t xml:space="preserve"> Section 9.1.1 is an essential tool for confirming that all start-up costs will be invoiced</w:t>
      </w:r>
    </w:p>
    <w:p w:rsidR="006D1515" w:rsidRDefault="00E63A18" w:rsidP="00A7011A">
      <w:pPr>
        <w:pStyle w:val="ListParagraph"/>
        <w:numPr>
          <w:ilvl w:val="0"/>
          <w:numId w:val="2"/>
        </w:numPr>
      </w:pPr>
      <w:r>
        <w:t>Comprehensive financial management</w:t>
      </w:r>
    </w:p>
    <w:p w:rsidR="00EA2AD6" w:rsidRDefault="004F5EDC" w:rsidP="00E63A18">
      <w:pPr>
        <w:pStyle w:val="ListParagraph"/>
        <w:numPr>
          <w:ilvl w:val="0"/>
          <w:numId w:val="20"/>
        </w:numPr>
      </w:pPr>
      <w:proofErr w:type="spellStart"/>
      <w:r w:rsidRPr="004F5EDC">
        <w:t>Clincards</w:t>
      </w:r>
      <w:proofErr w:type="spellEnd"/>
      <w:r w:rsidRPr="004F5EDC">
        <w:t xml:space="preserve"> </w:t>
      </w:r>
      <w:r>
        <w:t xml:space="preserve">can be obtained after submitting a signed Informed Consent Form (ICF) and Study Initiation Protocol (SIP) to </w:t>
      </w:r>
      <w:hyperlink r:id="rId7" w:history="1">
        <w:r w:rsidRPr="00DE0A35">
          <w:rPr>
            <w:rStyle w:val="Hyperlink"/>
          </w:rPr>
          <w:t>ClinresClinCard@utsouthwestern.edu</w:t>
        </w:r>
      </w:hyperlink>
      <w:r>
        <w:t xml:space="preserve"> </w:t>
      </w:r>
    </w:p>
    <w:p w:rsidR="004F5EDC" w:rsidRPr="004F5EDC" w:rsidRDefault="004F5EDC" w:rsidP="004F5EDC">
      <w:pPr>
        <w:pStyle w:val="ListParagraph"/>
        <w:numPr>
          <w:ilvl w:val="0"/>
          <w:numId w:val="23"/>
        </w:numPr>
      </w:pPr>
      <w:r>
        <w:t xml:space="preserve">If </w:t>
      </w:r>
      <w:r w:rsidR="005D3284">
        <w:t xml:space="preserve">a </w:t>
      </w:r>
      <w:r>
        <w:t xml:space="preserve">patient has provided </w:t>
      </w:r>
      <w:r w:rsidR="005D3284">
        <w:t xml:space="preserve">his or her </w:t>
      </w:r>
      <w:r>
        <w:t>social security number, an IRS 1099 will be issued; if no social security number has been provided, payments will be assessed a 24% reduction to cover taxes</w:t>
      </w:r>
    </w:p>
    <w:p w:rsidR="00E63A18" w:rsidRPr="00E63A18" w:rsidRDefault="00E63A18" w:rsidP="00E63A18">
      <w:pPr>
        <w:pStyle w:val="ListParagraph"/>
        <w:ind w:left="1440"/>
        <w:rPr>
          <w:highlight w:val="yellow"/>
        </w:rPr>
      </w:pPr>
    </w:p>
    <w:p w:rsidR="00540AC5" w:rsidRDefault="005C774D" w:rsidP="00540AC5">
      <w:pPr>
        <w:pStyle w:val="ListParagraph"/>
        <w:numPr>
          <w:ilvl w:val="0"/>
          <w:numId w:val="1"/>
        </w:numPr>
      </w:pPr>
      <w:r>
        <w:t>Accessing systems use</w:t>
      </w:r>
      <w:r w:rsidR="00EA2AD6">
        <w:t xml:space="preserve">d for </w:t>
      </w:r>
      <w:r w:rsidR="00666B5E">
        <w:t>Clinical Trial Finance</w:t>
      </w:r>
    </w:p>
    <w:p w:rsidR="00A7011A" w:rsidRDefault="00A7011A" w:rsidP="00A7011A">
      <w:pPr>
        <w:pStyle w:val="ListParagraph"/>
        <w:numPr>
          <w:ilvl w:val="0"/>
          <w:numId w:val="4"/>
        </w:numPr>
      </w:pPr>
      <w:r>
        <w:t xml:space="preserve">Research system resources can be found on the </w:t>
      </w:r>
      <w:hyperlink r:id="rId8" w:history="1">
        <w:r>
          <w:rPr>
            <w:rStyle w:val="Hyperlink"/>
          </w:rPr>
          <w:t>SPA website</w:t>
        </w:r>
      </w:hyperlink>
      <w:r>
        <w:t xml:space="preserve"> </w:t>
      </w:r>
    </w:p>
    <w:p w:rsidR="00A7011A" w:rsidRDefault="00A7011A" w:rsidP="00A7011A">
      <w:pPr>
        <w:pStyle w:val="ListParagraph"/>
        <w:numPr>
          <w:ilvl w:val="0"/>
          <w:numId w:val="4"/>
        </w:numPr>
      </w:pPr>
      <w:r>
        <w:t>Systems used</w:t>
      </w:r>
      <w:r w:rsidR="008933EC">
        <w:t xml:space="preserve"> for Clinical Trial Finance</w:t>
      </w:r>
      <w:r w:rsidR="00C14DC0">
        <w:t>:</w:t>
      </w:r>
    </w:p>
    <w:p w:rsidR="00666B5E" w:rsidRDefault="008933EC" w:rsidP="00666B5E">
      <w:pPr>
        <w:pStyle w:val="ListParagraph"/>
        <w:numPr>
          <w:ilvl w:val="0"/>
          <w:numId w:val="11"/>
        </w:numPr>
      </w:pPr>
      <w:proofErr w:type="spellStart"/>
      <w:r>
        <w:t>Velos</w:t>
      </w:r>
      <w:proofErr w:type="spellEnd"/>
      <w:r>
        <w:t xml:space="preserve"> - </w:t>
      </w:r>
      <w:r w:rsidR="00C14DC0">
        <w:t xml:space="preserve">requires completion of </w:t>
      </w:r>
      <w:hyperlink r:id="rId9" w:history="1">
        <w:proofErr w:type="spellStart"/>
        <w:r w:rsidR="00C14DC0">
          <w:rPr>
            <w:rStyle w:val="Hyperlink"/>
          </w:rPr>
          <w:t>eResearch</w:t>
        </w:r>
        <w:proofErr w:type="spellEnd"/>
        <w:r w:rsidR="00C14DC0">
          <w:rPr>
            <w:rStyle w:val="Hyperlink"/>
          </w:rPr>
          <w:t xml:space="preserve"> Access Request</w:t>
        </w:r>
      </w:hyperlink>
    </w:p>
    <w:p w:rsidR="00A90042" w:rsidRDefault="00C14DC0" w:rsidP="008933EC">
      <w:pPr>
        <w:pStyle w:val="ListParagraph"/>
        <w:numPr>
          <w:ilvl w:val="0"/>
          <w:numId w:val="11"/>
        </w:numPr>
      </w:pPr>
      <w:proofErr w:type="spellStart"/>
      <w:r>
        <w:t>Peoplesoft</w:t>
      </w:r>
      <w:proofErr w:type="spellEnd"/>
      <w:r w:rsidR="008933EC">
        <w:t xml:space="preserve"> - will a</w:t>
      </w:r>
      <w:r w:rsidR="008130E7">
        <w:t>uto</w:t>
      </w:r>
      <w:r w:rsidR="00EA0968">
        <w:t>-</w:t>
      </w:r>
      <w:r w:rsidR="008933EC">
        <w:t>populate</w:t>
      </w:r>
      <w:r w:rsidR="008130E7">
        <w:t xml:space="preserve"> the GNR and contains the Chart of Accounts (</w:t>
      </w:r>
      <w:hyperlink r:id="rId10" w:history="1">
        <w:r w:rsidR="008130E7">
          <w:rPr>
            <w:rStyle w:val="Hyperlink"/>
          </w:rPr>
          <w:t>COA</w:t>
        </w:r>
      </w:hyperlink>
      <w:r w:rsidR="008130E7">
        <w:t>)</w:t>
      </w:r>
    </w:p>
    <w:p w:rsidR="008130E7" w:rsidRDefault="00E63A18" w:rsidP="008130E7">
      <w:pPr>
        <w:pStyle w:val="ListParagraph"/>
        <w:numPr>
          <w:ilvl w:val="0"/>
          <w:numId w:val="11"/>
        </w:numPr>
      </w:pPr>
      <w:r>
        <w:t>O</w:t>
      </w:r>
      <w:r w:rsidR="008933EC">
        <w:t xml:space="preserve">rbit - </w:t>
      </w:r>
      <w:r>
        <w:t>user interfac</w:t>
      </w:r>
      <w:bookmarkStart w:id="0" w:name="_GoBack"/>
      <w:bookmarkEnd w:id="0"/>
      <w:r>
        <w:t xml:space="preserve">e for UTSW </w:t>
      </w:r>
      <w:r w:rsidR="008130E7">
        <w:t xml:space="preserve">Enterprise Data Warehouse </w:t>
      </w:r>
      <w:hyperlink r:id="rId11" w:history="1">
        <w:r w:rsidR="008130E7">
          <w:rPr>
            <w:rStyle w:val="Hyperlink"/>
          </w:rPr>
          <w:t>EDW</w:t>
        </w:r>
      </w:hyperlink>
      <w:r w:rsidR="008130E7">
        <w:t xml:space="preserve"> </w:t>
      </w:r>
    </w:p>
    <w:p w:rsidR="00EF5FD0" w:rsidRDefault="00EF5FD0" w:rsidP="00EF5FD0">
      <w:pPr>
        <w:pStyle w:val="ListParagraph"/>
        <w:ind w:left="1080"/>
      </w:pPr>
    </w:p>
    <w:p w:rsidR="006D1515" w:rsidRDefault="005C774D" w:rsidP="005C774D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35745"/>
    <w:multiLevelType w:val="hybridMultilevel"/>
    <w:tmpl w:val="1D0CD3AA"/>
    <w:lvl w:ilvl="0" w:tplc="EA7AF4D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1763AB6"/>
    <w:multiLevelType w:val="hybridMultilevel"/>
    <w:tmpl w:val="F0EE663C"/>
    <w:lvl w:ilvl="0" w:tplc="8B2467B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93D126F"/>
    <w:multiLevelType w:val="hybridMultilevel"/>
    <w:tmpl w:val="36CC7814"/>
    <w:lvl w:ilvl="0" w:tplc="092656C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03034DF"/>
    <w:multiLevelType w:val="hybridMultilevel"/>
    <w:tmpl w:val="F9143C04"/>
    <w:lvl w:ilvl="0" w:tplc="5414D63A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5E05F6C"/>
    <w:multiLevelType w:val="hybridMultilevel"/>
    <w:tmpl w:val="870416D2"/>
    <w:lvl w:ilvl="0" w:tplc="CDE449CC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D4631C2"/>
    <w:multiLevelType w:val="hybridMultilevel"/>
    <w:tmpl w:val="C360CAD4"/>
    <w:lvl w:ilvl="0" w:tplc="D8E8CEE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5AA3CA9"/>
    <w:multiLevelType w:val="hybridMultilevel"/>
    <w:tmpl w:val="DF4A95B0"/>
    <w:lvl w:ilvl="0" w:tplc="85987CD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48DC5F39"/>
    <w:multiLevelType w:val="hybridMultilevel"/>
    <w:tmpl w:val="D25CC6A8"/>
    <w:lvl w:ilvl="0" w:tplc="0E2CFF3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D02035C"/>
    <w:multiLevelType w:val="hybridMultilevel"/>
    <w:tmpl w:val="972AB0BA"/>
    <w:lvl w:ilvl="0" w:tplc="0FBE2E4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64B52C2"/>
    <w:multiLevelType w:val="hybridMultilevel"/>
    <w:tmpl w:val="ABCE7370"/>
    <w:lvl w:ilvl="0" w:tplc="5D62118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616D5B26"/>
    <w:multiLevelType w:val="hybridMultilevel"/>
    <w:tmpl w:val="1826B2EE"/>
    <w:lvl w:ilvl="0" w:tplc="E1A88BBC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61B641F4"/>
    <w:multiLevelType w:val="hybridMultilevel"/>
    <w:tmpl w:val="C4128858"/>
    <w:lvl w:ilvl="0" w:tplc="FC7CAFE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4C6D31"/>
    <w:multiLevelType w:val="hybridMultilevel"/>
    <w:tmpl w:val="1A7C70C6"/>
    <w:lvl w:ilvl="0" w:tplc="BB40007E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56A47BF"/>
    <w:multiLevelType w:val="hybridMultilevel"/>
    <w:tmpl w:val="E24E53CA"/>
    <w:lvl w:ilvl="0" w:tplc="45ECF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AE442AC"/>
    <w:multiLevelType w:val="hybridMultilevel"/>
    <w:tmpl w:val="A08CB89A"/>
    <w:lvl w:ilvl="0" w:tplc="0FBE2E4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8"/>
  </w:num>
  <w:num w:numId="2">
    <w:abstractNumId w:val="6"/>
  </w:num>
  <w:num w:numId="3">
    <w:abstractNumId w:val="14"/>
  </w:num>
  <w:num w:numId="4">
    <w:abstractNumId w:val="13"/>
  </w:num>
  <w:num w:numId="5">
    <w:abstractNumId w:val="20"/>
  </w:num>
  <w:num w:numId="6">
    <w:abstractNumId w:val="2"/>
  </w:num>
  <w:num w:numId="7">
    <w:abstractNumId w:val="9"/>
  </w:num>
  <w:num w:numId="8">
    <w:abstractNumId w:val="8"/>
  </w:num>
  <w:num w:numId="9">
    <w:abstractNumId w:val="21"/>
  </w:num>
  <w:num w:numId="10">
    <w:abstractNumId w:val="0"/>
  </w:num>
  <w:num w:numId="11">
    <w:abstractNumId w:val="3"/>
  </w:num>
  <w:num w:numId="12">
    <w:abstractNumId w:val="12"/>
  </w:num>
  <w:num w:numId="13">
    <w:abstractNumId w:val="15"/>
  </w:num>
  <w:num w:numId="14">
    <w:abstractNumId w:val="19"/>
  </w:num>
  <w:num w:numId="15">
    <w:abstractNumId w:val="17"/>
  </w:num>
  <w:num w:numId="16">
    <w:abstractNumId w:val="5"/>
  </w:num>
  <w:num w:numId="17">
    <w:abstractNumId w:val="22"/>
  </w:num>
  <w:num w:numId="18">
    <w:abstractNumId w:val="7"/>
  </w:num>
  <w:num w:numId="19">
    <w:abstractNumId w:val="4"/>
  </w:num>
  <w:num w:numId="20">
    <w:abstractNumId w:val="11"/>
  </w:num>
  <w:num w:numId="21">
    <w:abstractNumId w:val="1"/>
  </w:num>
  <w:num w:numId="22">
    <w:abstractNumId w:val="10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015397"/>
    <w:rsid w:val="00080467"/>
    <w:rsid w:val="000E3096"/>
    <w:rsid w:val="001B078B"/>
    <w:rsid w:val="002775B2"/>
    <w:rsid w:val="00390D1A"/>
    <w:rsid w:val="00447057"/>
    <w:rsid w:val="00450A28"/>
    <w:rsid w:val="004535E1"/>
    <w:rsid w:val="004F5EDC"/>
    <w:rsid w:val="00540AC5"/>
    <w:rsid w:val="005C774D"/>
    <w:rsid w:val="005D3284"/>
    <w:rsid w:val="00632FC8"/>
    <w:rsid w:val="00636435"/>
    <w:rsid w:val="00666B5E"/>
    <w:rsid w:val="00684016"/>
    <w:rsid w:val="006D1515"/>
    <w:rsid w:val="00703101"/>
    <w:rsid w:val="007520AE"/>
    <w:rsid w:val="00780B06"/>
    <w:rsid w:val="008130E7"/>
    <w:rsid w:val="008933EC"/>
    <w:rsid w:val="008E3A36"/>
    <w:rsid w:val="008F7927"/>
    <w:rsid w:val="009058D3"/>
    <w:rsid w:val="009415D9"/>
    <w:rsid w:val="00960102"/>
    <w:rsid w:val="009A727D"/>
    <w:rsid w:val="00A7011A"/>
    <w:rsid w:val="00A90042"/>
    <w:rsid w:val="00AA0572"/>
    <w:rsid w:val="00BF2115"/>
    <w:rsid w:val="00C14DC0"/>
    <w:rsid w:val="00E212E8"/>
    <w:rsid w:val="00E63A18"/>
    <w:rsid w:val="00EA0968"/>
    <w:rsid w:val="00EA2AD6"/>
    <w:rsid w:val="00EF5FD0"/>
    <w:rsid w:val="00F4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7AA8BE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14DC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tsouthwestern.net/intranet/administration/sponsored-programs/research-system-resource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linresClinCard@utsouthwestern.ed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tsouthwestern.net/intranet/administration/sponsored-programs/institutional-fact-sheet/" TargetMode="External"/><Relationship Id="rId11" Type="http://schemas.openxmlformats.org/officeDocument/2006/relationships/hyperlink" Target="https://login.microsoftonline.com/9d418695-71ac-4c31-b5b2-c196c8ec3c8a/oauth2/authorize?client_id=00000003-0000-0ff1-ce00-000000000000&amp;response_mode=form_post&amp;protectedtoken=true&amp;response_type=code%20id_token&amp;resource=00000003-0000-0ff1-ce00-000000000000&amp;scope=openid&amp;nonce=96E45D5B6EFBC9E72252E7A9D4F5F5919A38143BD4FD3B08-665DAF13939F1FE8A88717D9698F608F722FAA7AE3E93F79C0573443F589EF96&amp;redirect_uri=https:%2F%2F365utsouthwestern.sharepoint.com%2F_forms%2Fdefault.aspx&amp;wsucxt=1&amp;cobrandid=11bd8083-87e0-41b5-bb78-0bc43c8a8e8a&amp;client-request-id=e3551b9f-a007-0000-539c-de19a39e2d74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utsouthwestern.net/intranet/services/admin-systems/assets/pstrain-ps92-gl-coa-trainin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is.swmed.edu/redcap/surveys/?s=UH6m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2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Jennifer Storm</cp:lastModifiedBy>
  <cp:revision>7</cp:revision>
  <dcterms:created xsi:type="dcterms:W3CDTF">2019-12-09T15:52:00Z</dcterms:created>
  <dcterms:modified xsi:type="dcterms:W3CDTF">2019-12-09T21:22:00Z</dcterms:modified>
</cp:coreProperties>
</file>