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9A727D" w:rsidP="009A727D">
      <w:pPr>
        <w:jc w:val="center"/>
      </w:pPr>
      <w:bookmarkStart w:id="0" w:name="_GoBack"/>
      <w:bookmarkEnd w:id="0"/>
      <w:r>
        <w:t xml:space="preserve">Module K: Clinical Research Services 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9A727D" w:rsidRDefault="009A727D" w:rsidP="009A727D">
      <w:pPr>
        <w:pStyle w:val="ListParagraph"/>
        <w:numPr>
          <w:ilvl w:val="0"/>
          <w:numId w:val="1"/>
        </w:numPr>
      </w:pPr>
      <w:r>
        <w:t>Clinical Research Administration</w:t>
      </w:r>
    </w:p>
    <w:p w:rsidR="001B078B" w:rsidRDefault="004535E1" w:rsidP="004535E1">
      <w:pPr>
        <w:pStyle w:val="ListParagraph"/>
        <w:numPr>
          <w:ilvl w:val="0"/>
          <w:numId w:val="8"/>
        </w:numPr>
      </w:pPr>
      <w:r>
        <w:t>Key stakeholders include: Study Team/PI, Sponsor, Contract Research Organization, Ethics Committees, Regulatory Authorities and Study Participants</w:t>
      </w:r>
    </w:p>
    <w:p w:rsidR="004535E1" w:rsidRDefault="00EF5FD0" w:rsidP="004535E1">
      <w:pPr>
        <w:pStyle w:val="ListParagraph"/>
        <w:numPr>
          <w:ilvl w:val="0"/>
          <w:numId w:val="8"/>
        </w:numPr>
      </w:pPr>
      <w:r>
        <w:t>SPA helps Study Teams submit research proposals, execute grants, contracts, cooperative agreements and fiscally manage sponsored awards and agreements</w:t>
      </w:r>
    </w:p>
    <w:p w:rsidR="00EF5FD0" w:rsidRDefault="00EF5FD0" w:rsidP="004535E1">
      <w:pPr>
        <w:pStyle w:val="ListParagraph"/>
        <w:numPr>
          <w:ilvl w:val="0"/>
          <w:numId w:val="8"/>
        </w:numPr>
      </w:pPr>
      <w:r>
        <w:t>Lifecycle:</w:t>
      </w:r>
    </w:p>
    <w:p w:rsidR="00EF5FD0" w:rsidRDefault="00EF5FD0" w:rsidP="00EF5FD0">
      <w:pPr>
        <w:pStyle w:val="ListParagraph"/>
        <w:ind w:left="1080"/>
      </w:pPr>
      <w:r>
        <w:rPr>
          <w:noProof/>
        </w:rPr>
        <w:drawing>
          <wp:inline distT="0" distB="0" distL="0" distR="0" wp14:anchorId="76A71688" wp14:editId="59AE2EB1">
            <wp:extent cx="3946933" cy="1097280"/>
            <wp:effectExtent l="0" t="0" r="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89322" cy="110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5FD0" w:rsidRDefault="00EF5FD0" w:rsidP="00EF5FD0">
      <w:pPr>
        <w:pStyle w:val="ListParagraph"/>
        <w:ind w:left="1080"/>
      </w:pPr>
    </w:p>
    <w:p w:rsidR="009A727D" w:rsidRDefault="009A727D" w:rsidP="009A727D">
      <w:pPr>
        <w:pStyle w:val="ListParagraph"/>
        <w:numPr>
          <w:ilvl w:val="0"/>
          <w:numId w:val="1"/>
        </w:numPr>
      </w:pPr>
      <w:r>
        <w:t>Coverage Analysis</w:t>
      </w:r>
    </w:p>
    <w:p w:rsidR="009A727D" w:rsidRDefault="009A727D" w:rsidP="009A727D">
      <w:pPr>
        <w:pStyle w:val="ListParagraph"/>
        <w:numPr>
          <w:ilvl w:val="0"/>
          <w:numId w:val="2"/>
        </w:numPr>
      </w:pPr>
      <w:r>
        <w:t>Central Coverage Analysis Group performs systematic review of protocol related documents to determine if all patient care costs in study are covered</w:t>
      </w:r>
    </w:p>
    <w:p w:rsidR="006D1515" w:rsidRDefault="006D1515" w:rsidP="006D1515">
      <w:pPr>
        <w:pStyle w:val="ListParagraph"/>
        <w:numPr>
          <w:ilvl w:val="0"/>
          <w:numId w:val="5"/>
        </w:numPr>
      </w:pPr>
      <w:r>
        <w:t xml:space="preserve">Per Medicare Clinical Trial Policy, coverage analysis performed on </w:t>
      </w:r>
      <w:r w:rsidRPr="006D1515">
        <w:rPr>
          <w:u w:val="single"/>
        </w:rPr>
        <w:t>all</w:t>
      </w:r>
      <w:r>
        <w:t xml:space="preserve"> clinical research studies that involve billable procedures</w:t>
      </w:r>
    </w:p>
    <w:p w:rsidR="00447057" w:rsidRDefault="00447057" w:rsidP="006D1515">
      <w:pPr>
        <w:pStyle w:val="ListParagraph"/>
        <w:numPr>
          <w:ilvl w:val="0"/>
          <w:numId w:val="5"/>
        </w:numPr>
      </w:pPr>
      <w:r>
        <w:t>Cost to perform review: Nonprofit or PI initiated study - $0; Industry Study - $2,500; Institutional coverage analysis determination fee for Industry Studies - $500</w:t>
      </w:r>
    </w:p>
    <w:p w:rsidR="00447057" w:rsidRDefault="00447057" w:rsidP="006D1515">
      <w:pPr>
        <w:pStyle w:val="ListParagraph"/>
        <w:numPr>
          <w:ilvl w:val="0"/>
          <w:numId w:val="5"/>
        </w:numPr>
      </w:pPr>
      <w:r>
        <w:t>Responsibilities:</w:t>
      </w:r>
    </w:p>
    <w:p w:rsidR="006D1515" w:rsidRDefault="00540AC5" w:rsidP="00EF5FD0">
      <w:pPr>
        <w:pStyle w:val="ListParagraph"/>
        <w:ind w:left="1080"/>
      </w:pPr>
      <w:r>
        <w:rPr>
          <w:noProof/>
        </w:rPr>
        <w:drawing>
          <wp:inline distT="0" distB="0" distL="0" distR="0" wp14:anchorId="33F82982" wp14:editId="5FD8BE27">
            <wp:extent cx="3989720" cy="2091193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41820" cy="2118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5FD0" w:rsidRDefault="00EF5FD0" w:rsidP="00EF5FD0">
      <w:pPr>
        <w:pStyle w:val="ListParagraph"/>
        <w:ind w:left="1080"/>
      </w:pPr>
    </w:p>
    <w:p w:rsidR="009A727D" w:rsidRDefault="009A727D" w:rsidP="009A727D">
      <w:pPr>
        <w:pStyle w:val="ListParagraph"/>
        <w:numPr>
          <w:ilvl w:val="0"/>
          <w:numId w:val="1"/>
        </w:numPr>
      </w:pPr>
      <w:r>
        <w:t>Industry Agreements</w:t>
      </w:r>
    </w:p>
    <w:p w:rsidR="009A727D" w:rsidRDefault="009A727D" w:rsidP="009A727D">
      <w:pPr>
        <w:pStyle w:val="ListParagraph"/>
        <w:numPr>
          <w:ilvl w:val="0"/>
          <w:numId w:val="3"/>
        </w:numPr>
      </w:pPr>
      <w:r>
        <w:t>Industry Clinical Trials Agreement Group reviews and negotiates terms of industry contracts between UTSW and for-profit companies</w:t>
      </w:r>
    </w:p>
    <w:p w:rsidR="005C774D" w:rsidRDefault="005C774D" w:rsidP="005C774D">
      <w:pPr>
        <w:pStyle w:val="ListParagraph"/>
        <w:numPr>
          <w:ilvl w:val="0"/>
          <w:numId w:val="6"/>
        </w:numPr>
      </w:pPr>
      <w:r>
        <w:t>Clinical Trial Agreements, Master Clinical Trial Agreements, Amendments, Confidentiality Agreements, Treatment Use Agreements, Clinical Trial Subcontracts, EpicCare Link Agreements and Study Payment Agreements</w:t>
      </w:r>
    </w:p>
    <w:p w:rsidR="005C774D" w:rsidRDefault="005C774D" w:rsidP="009A727D">
      <w:pPr>
        <w:pStyle w:val="ListParagraph"/>
        <w:numPr>
          <w:ilvl w:val="0"/>
          <w:numId w:val="3"/>
        </w:numPr>
      </w:pPr>
      <w:r>
        <w:lastRenderedPageBreak/>
        <w:t>Study Team initiates study in Velos, then submits agreement into eAgreements, then SPA reviews and executes agreement</w:t>
      </w:r>
    </w:p>
    <w:p w:rsidR="00540AC5" w:rsidRDefault="00540AC5" w:rsidP="00540AC5">
      <w:pPr>
        <w:pStyle w:val="ListParagraph"/>
        <w:ind w:left="1080"/>
      </w:pPr>
      <w:r>
        <w:rPr>
          <w:noProof/>
        </w:rPr>
        <w:drawing>
          <wp:inline distT="0" distB="0" distL="0" distR="0" wp14:anchorId="5CECB16D" wp14:editId="053EAB19">
            <wp:extent cx="4017675" cy="1971923"/>
            <wp:effectExtent l="0" t="0" r="190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2372" cy="199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5FD0" w:rsidRDefault="00EF5FD0" w:rsidP="00540AC5">
      <w:pPr>
        <w:pStyle w:val="ListParagraph"/>
        <w:ind w:left="1080"/>
      </w:pPr>
    </w:p>
    <w:p w:rsidR="00540AC5" w:rsidRDefault="005C774D" w:rsidP="00540AC5">
      <w:pPr>
        <w:pStyle w:val="ListParagraph"/>
        <w:numPr>
          <w:ilvl w:val="0"/>
          <w:numId w:val="1"/>
        </w:numPr>
      </w:pPr>
      <w:r>
        <w:t>Accessing systems used for Clinical Research Services</w:t>
      </w:r>
    </w:p>
    <w:p w:rsidR="00540AC5" w:rsidRDefault="006D1515" w:rsidP="00540AC5">
      <w:pPr>
        <w:pStyle w:val="ListParagraph"/>
        <w:numPr>
          <w:ilvl w:val="0"/>
          <w:numId w:val="4"/>
        </w:numPr>
      </w:pPr>
      <w:r>
        <w:t xml:space="preserve">Complete eResearch Access Request to gain access to: </w:t>
      </w:r>
      <w:r w:rsidR="00540AC5">
        <w:t>eAgreements, Velos, eIRB/eCOI/eOAE</w:t>
      </w:r>
      <w:r>
        <w:t>, PeopleSoft</w:t>
      </w:r>
    </w:p>
    <w:p w:rsidR="006D1515" w:rsidRDefault="006D1515" w:rsidP="00540AC5">
      <w:pPr>
        <w:pStyle w:val="ListParagraph"/>
        <w:numPr>
          <w:ilvl w:val="0"/>
          <w:numId w:val="4"/>
        </w:numPr>
      </w:pPr>
      <w:r>
        <w:t xml:space="preserve">Submit request to </w:t>
      </w:r>
      <w:hyperlink r:id="rId8" w:history="1">
        <w:r w:rsidRPr="002222BF">
          <w:rPr>
            <w:rStyle w:val="Hyperlink"/>
          </w:rPr>
          <w:t>ServiceDesk@UTSouthwestern.edu</w:t>
        </w:r>
      </w:hyperlink>
      <w:r>
        <w:t xml:space="preserve"> for access to ClinicalTrials.gov</w:t>
      </w:r>
    </w:p>
    <w:p w:rsidR="00EF5FD0" w:rsidRDefault="00EF5FD0" w:rsidP="00EF5FD0">
      <w:pPr>
        <w:pStyle w:val="ListParagraph"/>
        <w:ind w:left="1080"/>
      </w:pPr>
    </w:p>
    <w:p w:rsidR="006D1515" w:rsidRDefault="005C774D" w:rsidP="005C774D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4"/>
  </w:num>
  <w:num w:numId="5">
    <w:abstractNumId w:val="7"/>
  </w:num>
  <w:num w:numId="6">
    <w:abstractNumId w:val="0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1B078B"/>
    <w:rsid w:val="00390D1A"/>
    <w:rsid w:val="00447057"/>
    <w:rsid w:val="004535E1"/>
    <w:rsid w:val="00540AC5"/>
    <w:rsid w:val="005C774D"/>
    <w:rsid w:val="006D1515"/>
    <w:rsid w:val="009A727D"/>
    <w:rsid w:val="00D4496E"/>
    <w:rsid w:val="00EF5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ceDesk@UTSouthwestern.ed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Alina Grays</cp:lastModifiedBy>
  <cp:revision>2</cp:revision>
  <dcterms:created xsi:type="dcterms:W3CDTF">2019-10-28T20:19:00Z</dcterms:created>
  <dcterms:modified xsi:type="dcterms:W3CDTF">2019-10-28T20:19:00Z</dcterms:modified>
</cp:coreProperties>
</file>