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1DC1EA" w14:textId="77777777" w:rsidR="001910D5" w:rsidRDefault="00BC6F07">
      <w:r>
        <w:rPr>
          <w:noProof/>
        </w:rPr>
        <mc:AlternateContent>
          <mc:Choice Requires="wps">
            <w:drawing>
              <wp:anchor distT="0" distB="0" distL="114300" distR="114300" simplePos="0" relativeHeight="251658240" behindDoc="0" locked="0" layoutInCell="1" allowOverlap="1" wp14:anchorId="671DC230" wp14:editId="4545A7C4">
                <wp:simplePos x="0" y="0"/>
                <wp:positionH relativeFrom="column">
                  <wp:posOffset>-429370</wp:posOffset>
                </wp:positionH>
                <wp:positionV relativeFrom="paragraph">
                  <wp:posOffset>-17890</wp:posOffset>
                </wp:positionV>
                <wp:extent cx="5542059" cy="643061"/>
                <wp:effectExtent l="0" t="0" r="1905" b="5080"/>
                <wp:wrapNone/>
                <wp:docPr id="30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2059" cy="643061"/>
                        </a:xfrm>
                        <a:prstGeom prst="rect">
                          <a:avLst/>
                        </a:prstGeom>
                        <a:solidFill>
                          <a:srgbClr val="FFFFFF"/>
                        </a:solidFill>
                        <a:ln w="9525">
                          <a:noFill/>
                          <a:miter lim="800000"/>
                          <a:headEnd/>
                          <a:tailEnd/>
                        </a:ln>
                      </wps:spPr>
                      <wps:txbx>
                        <w:txbxContent>
                          <w:p w14:paraId="671DC241" w14:textId="524FA1E5" w:rsidR="00C443D4" w:rsidRPr="0062689B" w:rsidRDefault="00C443D4" w:rsidP="001910D5">
                            <w:pPr>
                              <w:pBdr>
                                <w:left w:val="single" w:sz="4" w:space="4" w:color="auto"/>
                              </w:pBdr>
                              <w:spacing w:after="0" w:line="240" w:lineRule="auto"/>
                              <w:rPr>
                                <w:rFonts w:ascii="Arial" w:hAnsi="Arial" w:cs="Arial"/>
                                <w:b/>
                                <w:sz w:val="36"/>
                                <w:szCs w:val="36"/>
                              </w:rPr>
                            </w:pPr>
                            <w:r w:rsidRPr="0062689B">
                              <w:rPr>
                                <w:rFonts w:ascii="Arial" w:hAnsi="Arial" w:cs="Arial"/>
                                <w:b/>
                                <w:sz w:val="36"/>
                                <w:szCs w:val="36"/>
                              </w:rPr>
                              <w:t>UT</w:t>
                            </w:r>
                            <w:r>
                              <w:rPr>
                                <w:rFonts w:ascii="Arial" w:hAnsi="Arial" w:cs="Arial"/>
                                <w:b/>
                                <w:sz w:val="36"/>
                                <w:szCs w:val="36"/>
                              </w:rPr>
                              <w:t xml:space="preserve"> </w:t>
                            </w:r>
                            <w:r w:rsidRPr="0062689B">
                              <w:rPr>
                                <w:rFonts w:ascii="Arial" w:hAnsi="Arial" w:cs="Arial"/>
                                <w:b/>
                                <w:sz w:val="36"/>
                                <w:szCs w:val="36"/>
                              </w:rPr>
                              <w:t>S</w:t>
                            </w:r>
                            <w:r>
                              <w:rPr>
                                <w:rFonts w:ascii="Arial" w:hAnsi="Arial" w:cs="Arial"/>
                                <w:b/>
                                <w:sz w:val="36"/>
                                <w:szCs w:val="36"/>
                              </w:rPr>
                              <w:t>outhwestern Occupational Health</w:t>
                            </w:r>
                          </w:p>
                          <w:p w14:paraId="671DC242" w14:textId="77777777" w:rsidR="00C443D4" w:rsidRPr="0062689B" w:rsidRDefault="00C443D4" w:rsidP="00434B48">
                            <w:pPr>
                              <w:pBdr>
                                <w:left w:val="single" w:sz="4" w:space="4" w:color="auto"/>
                              </w:pBdr>
                              <w:spacing w:before="40" w:after="0" w:line="240" w:lineRule="auto"/>
                              <w:rPr>
                                <w:rFonts w:ascii="Arial" w:hAnsi="Arial" w:cs="Arial"/>
                                <w:b/>
                                <w:sz w:val="36"/>
                                <w:szCs w:val="36"/>
                              </w:rPr>
                            </w:pPr>
                            <w:r w:rsidRPr="0062689B">
                              <w:rPr>
                                <w:rFonts w:ascii="Arial" w:hAnsi="Arial" w:cs="Arial"/>
                                <w:b/>
                                <w:sz w:val="36"/>
                                <w:szCs w:val="36"/>
                              </w:rPr>
                              <w:t>POLICY MANUAL</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type w14:anchorId="671DC230" id="_x0000_t202" coordsize="21600,21600" o:spt="202" path="m,l,21600r21600,l21600,xe">
                <v:stroke joinstyle="miter"/>
                <v:path gradientshapeok="t" o:connecttype="rect"/>
              </v:shapetype>
              <v:shape id="Text Box 2" o:spid="_x0000_s1026" type="#_x0000_t202" alt="&quot;&quot;" style="position:absolute;margin-left:-33.8pt;margin-top:-1.4pt;width:436.4pt;height:50.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" stroked="f">
                <v:textbox>
                  <w:txbxContent>
                    <w:p w14:paraId="671DC241" w14:textId="524FA1E5" w:rsidR="00C443D4" w:rsidRPr="0062689B" w:rsidRDefault="00C443D4" w:rsidP="001910D5">
                      <w:pPr>
                        <w:pBdr>
                          <w:left w:val="single" w:sz="4" w:space="4" w:color="auto"/>
                        </w:pBdr>
                        <w:spacing w:after="0" w:line="240" w:lineRule="auto"/>
                        <w:rPr>
                          <w:rFonts w:ascii="Arial" w:hAnsi="Arial" w:cs="Arial"/>
                          <w:b/>
                          <w:sz w:val="36"/>
                          <w:szCs w:val="36"/>
                        </w:rPr>
                      </w:pPr>
                      <w:r w:rsidRPr="0062689B">
                        <w:rPr>
                          <w:rFonts w:ascii="Arial" w:hAnsi="Arial" w:cs="Arial"/>
                          <w:b/>
                          <w:sz w:val="36"/>
                          <w:szCs w:val="36"/>
                        </w:rPr>
                        <w:t>UT</w:t>
                      </w:r>
                      <w:r>
                        <w:rPr>
                          <w:rFonts w:ascii="Arial" w:hAnsi="Arial" w:cs="Arial"/>
                          <w:b/>
                          <w:sz w:val="36"/>
                          <w:szCs w:val="36"/>
                        </w:rPr>
                        <w:t xml:space="preserve"> </w:t>
                      </w:r>
                      <w:r w:rsidRPr="0062689B">
                        <w:rPr>
                          <w:rFonts w:ascii="Arial" w:hAnsi="Arial" w:cs="Arial"/>
                          <w:b/>
                          <w:sz w:val="36"/>
                          <w:szCs w:val="36"/>
                        </w:rPr>
                        <w:t>S</w:t>
                      </w:r>
                      <w:r>
                        <w:rPr>
                          <w:rFonts w:ascii="Arial" w:hAnsi="Arial" w:cs="Arial"/>
                          <w:b/>
                          <w:sz w:val="36"/>
                          <w:szCs w:val="36"/>
                        </w:rPr>
                        <w:t>outhwestern Occupational Health</w:t>
                      </w:r>
                    </w:p>
                    <w:p w14:paraId="671DC242" w14:textId="77777777" w:rsidR="00C443D4" w:rsidRPr="0062689B" w:rsidRDefault="00C443D4" w:rsidP="00434B48">
                      <w:pPr>
                        <w:pBdr>
                          <w:left w:val="single" w:sz="4" w:space="4" w:color="auto"/>
                        </w:pBdr>
                        <w:spacing w:before="40" w:after="0" w:line="240" w:lineRule="auto"/>
                        <w:rPr>
                          <w:rFonts w:ascii="Arial" w:hAnsi="Arial" w:cs="Arial"/>
                          <w:b/>
                          <w:sz w:val="36"/>
                          <w:szCs w:val="36"/>
                        </w:rPr>
                      </w:pPr>
                      <w:r w:rsidRPr="0062689B">
                        <w:rPr>
                          <w:rFonts w:ascii="Arial" w:hAnsi="Arial" w:cs="Arial"/>
                          <w:b/>
                          <w:sz w:val="36"/>
                          <w:szCs w:val="36"/>
                        </w:rPr>
                        <w:t>POLICY MANUAL</w:t>
                      </w:r>
                    </w:p>
                  </w:txbxContent>
                </v:textbox>
              </v:shape>
            </w:pict>
          </mc:Fallback>
        </mc:AlternateContent>
      </w:r>
    </w:p>
    <w:p w14:paraId="671DC1EB" w14:textId="77777777" w:rsidR="001910D5" w:rsidRDefault="001910D5"/>
    <w:tbl>
      <w:tblPr>
        <w:tblW w:w="10570" w:type="dxa"/>
        <w:jc w:val="center"/>
        <w:tblCellMar>
          <w:top w:w="58" w:type="dxa"/>
          <w:left w:w="144" w:type="dxa"/>
          <w:bottom w:w="58" w:type="dxa"/>
          <w:right w:w="144" w:type="dxa"/>
        </w:tblCellMar>
        <w:tblLook w:val="04A0" w:firstRow="1" w:lastRow="0" w:firstColumn="1" w:lastColumn="0" w:noHBand="0" w:noVBand="1"/>
      </w:tblPr>
      <w:tblGrid>
        <w:gridCol w:w="4942"/>
        <w:gridCol w:w="5334"/>
        <w:gridCol w:w="294"/>
      </w:tblGrid>
      <w:tr w:rsidR="0057791F" w14:paraId="671DC1ED" w14:textId="77777777" w:rsidTr="0C1DA87D">
        <w:trPr>
          <w:trHeight w:val="363"/>
          <w:jc w:val="center"/>
        </w:trPr>
        <w:tc>
          <w:tcPr>
            <w:tcW w:w="10570" w:type="dxa"/>
            <w:gridSpan w:val="3"/>
            <w:shd w:val="clear" w:color="auto" w:fill="E1E1E1"/>
            <w:vAlign w:val="center"/>
          </w:tcPr>
          <w:p w14:paraId="671DC1EC" w14:textId="5AF0E805" w:rsidR="009F215D" w:rsidRPr="0062689B" w:rsidRDefault="007F176D" w:rsidP="0081276C">
            <w:pPr>
              <w:spacing w:after="0" w:line="240" w:lineRule="auto"/>
              <w:rPr>
                <w:rFonts w:ascii="Arial" w:hAnsi="Arial" w:cs="Arial"/>
                <w:b/>
                <w:bCs/>
                <w:color w:val="000000" w:themeColor="text1"/>
                <w:w w:val="120"/>
                <w:sz w:val="24"/>
                <w:szCs w:val="24"/>
              </w:rPr>
            </w:pPr>
            <w:r>
              <w:rPr>
                <w:rFonts w:ascii="Arial" w:hAnsi="Arial" w:cs="Arial"/>
                <w:b/>
                <w:bCs/>
                <w:color w:val="000000" w:themeColor="text1"/>
                <w:w w:val="120"/>
                <w:sz w:val="24"/>
                <w:szCs w:val="24"/>
              </w:rPr>
              <w:t>Section 3</w:t>
            </w:r>
            <w:r w:rsidR="00BC6F07" w:rsidRPr="0062689B">
              <w:rPr>
                <w:rFonts w:ascii="Arial" w:hAnsi="Arial" w:cs="Arial"/>
                <w:b/>
                <w:bCs/>
                <w:color w:val="000000" w:themeColor="text1"/>
                <w:w w:val="120"/>
                <w:sz w:val="24"/>
                <w:szCs w:val="24"/>
              </w:rPr>
              <w:t xml:space="preserve">: </w:t>
            </w:r>
            <w:r w:rsidRPr="005C410D">
              <w:rPr>
                <w:rFonts w:ascii="Arial" w:hAnsi="Arial" w:cs="Arial"/>
                <w:b/>
                <w:bCs/>
                <w:color w:val="000000" w:themeColor="text1"/>
                <w:w w:val="120"/>
                <w:sz w:val="24"/>
                <w:szCs w:val="24"/>
              </w:rPr>
              <w:t>Work Related Injuries and Exposures</w:t>
            </w:r>
          </w:p>
        </w:tc>
      </w:tr>
      <w:tr w:rsidR="0057791F" w14:paraId="671DC1EF" w14:textId="77777777" w:rsidTr="0C1DA87D">
        <w:trPr>
          <w:trHeight w:val="363"/>
          <w:jc w:val="center"/>
        </w:trPr>
        <w:tc>
          <w:tcPr>
            <w:tcW w:w="10570" w:type="dxa"/>
            <w:gridSpan w:val="3"/>
            <w:shd w:val="clear" w:color="auto" w:fill="E1E1E1"/>
            <w:vAlign w:val="center"/>
          </w:tcPr>
          <w:p w14:paraId="671DC1EE" w14:textId="21485A37" w:rsidR="009F215D" w:rsidRPr="0062689B" w:rsidRDefault="007F176D" w:rsidP="007F176D">
            <w:pPr>
              <w:spacing w:after="0" w:line="240" w:lineRule="auto"/>
              <w:rPr>
                <w:rFonts w:ascii="Arial" w:hAnsi="Arial" w:cs="Arial"/>
                <w:b/>
                <w:bCs/>
                <w:color w:val="000000" w:themeColor="text1"/>
                <w:w w:val="120"/>
                <w:sz w:val="24"/>
                <w:szCs w:val="24"/>
              </w:rPr>
            </w:pPr>
            <w:r>
              <w:rPr>
                <w:rFonts w:ascii="Arial" w:hAnsi="Arial" w:cs="Arial"/>
                <w:b/>
                <w:w w:val="120"/>
                <w:sz w:val="24"/>
                <w:szCs w:val="24"/>
              </w:rPr>
              <w:t>Policy 3.03</w:t>
            </w:r>
            <w:r w:rsidR="00BC6F07" w:rsidRPr="0062689B">
              <w:rPr>
                <w:rFonts w:ascii="Arial" w:hAnsi="Arial" w:cs="Arial"/>
                <w:b/>
                <w:w w:val="120"/>
                <w:sz w:val="24"/>
                <w:szCs w:val="24"/>
              </w:rPr>
              <w:t xml:space="preserve">: </w:t>
            </w:r>
            <w:r>
              <w:rPr>
                <w:rFonts w:ascii="Arial" w:hAnsi="Arial" w:cs="Arial"/>
                <w:b/>
                <w:w w:val="120"/>
                <w:sz w:val="24"/>
                <w:szCs w:val="24"/>
              </w:rPr>
              <w:t xml:space="preserve">Management of Employee Exposures </w:t>
            </w:r>
            <w:proofErr w:type="gramStart"/>
            <w:r>
              <w:rPr>
                <w:rFonts w:ascii="Arial" w:hAnsi="Arial" w:cs="Arial"/>
                <w:b/>
                <w:w w:val="120"/>
                <w:sz w:val="24"/>
                <w:szCs w:val="24"/>
              </w:rPr>
              <w:t>To</w:t>
            </w:r>
            <w:proofErr w:type="gramEnd"/>
            <w:r>
              <w:rPr>
                <w:rFonts w:ascii="Arial" w:hAnsi="Arial" w:cs="Arial"/>
                <w:b/>
                <w:w w:val="120"/>
                <w:sz w:val="24"/>
                <w:szCs w:val="24"/>
              </w:rPr>
              <w:t xml:space="preserve"> Infectious Disease</w:t>
            </w:r>
          </w:p>
        </w:tc>
      </w:tr>
      <w:tr w:rsidR="0057791F" w14:paraId="671DC202" w14:textId="77777777" w:rsidTr="0C1DA87D">
        <w:trPr>
          <w:trHeight w:val="288"/>
          <w:jc w:val="center"/>
        </w:trPr>
        <w:tc>
          <w:tcPr>
            <w:tcW w:w="4942" w:type="dxa"/>
            <w:vAlign w:val="center"/>
          </w:tcPr>
          <w:p w14:paraId="671DC1F0" w14:textId="77777777" w:rsidR="009F215D" w:rsidRPr="0062689B" w:rsidRDefault="00BC6F07" w:rsidP="000026AF">
            <w:pPr>
              <w:spacing w:before="120" w:after="0" w:line="240" w:lineRule="auto"/>
              <w:ind w:left="720"/>
              <w:rPr>
                <w:rFonts w:ascii="Arial" w:hAnsi="Arial" w:cs="Arial"/>
                <w:b/>
                <w:bCs/>
                <w:smallCaps/>
                <w:color w:val="000000" w:themeColor="text1"/>
                <w:sz w:val="20"/>
                <w:szCs w:val="20"/>
              </w:rPr>
            </w:pPr>
            <w:r w:rsidRPr="0062689B">
              <w:rPr>
                <w:rFonts w:ascii="Arial" w:hAnsi="Arial" w:cs="Arial"/>
                <w:b/>
                <w:bCs/>
                <w:smallCaps/>
                <w:color w:val="000000" w:themeColor="text1"/>
                <w:sz w:val="20"/>
                <w:szCs w:val="20"/>
              </w:rPr>
              <w:t>Contents</w:t>
            </w:r>
          </w:p>
          <w:p w14:paraId="671DC1F1" w14:textId="77777777" w:rsidR="009F215D" w:rsidRPr="0062689B" w:rsidRDefault="00BC6F07" w:rsidP="00434B48">
            <w:pPr>
              <w:spacing w:after="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Policy Rationale and Text</w:t>
            </w:r>
          </w:p>
          <w:p w14:paraId="671DC1F2" w14:textId="77777777" w:rsidR="009F215D" w:rsidRPr="0062689B" w:rsidRDefault="00BC6F07" w:rsidP="00434B48">
            <w:pPr>
              <w:spacing w:after="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Scope</w:t>
            </w:r>
          </w:p>
          <w:p w14:paraId="671DC1F3" w14:textId="77777777" w:rsidR="009F215D" w:rsidRPr="0062689B" w:rsidRDefault="00BC6F07" w:rsidP="00434B48">
            <w:pPr>
              <w:spacing w:after="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Procedures</w:t>
            </w:r>
          </w:p>
          <w:p w14:paraId="671DC1F4" w14:textId="77777777" w:rsidR="009F215D" w:rsidRPr="0062689B" w:rsidRDefault="00BC6F07" w:rsidP="00434B48">
            <w:pPr>
              <w:spacing w:after="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Responsibilities</w:t>
            </w:r>
          </w:p>
          <w:p w14:paraId="671DC1F5" w14:textId="77777777" w:rsidR="009F215D" w:rsidRPr="0062689B" w:rsidRDefault="00BC6F07" w:rsidP="00434B48">
            <w:pPr>
              <w:spacing w:after="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Definitions</w:t>
            </w:r>
          </w:p>
          <w:p w14:paraId="671DC1F6" w14:textId="77777777" w:rsidR="009F215D" w:rsidRPr="0062689B" w:rsidRDefault="00BC6F07" w:rsidP="00434B48">
            <w:pPr>
              <w:spacing w:after="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Previous Policy</w:t>
            </w:r>
          </w:p>
          <w:p w14:paraId="671DC1F7" w14:textId="77777777" w:rsidR="009F215D" w:rsidRPr="0062689B" w:rsidRDefault="00BC6F07" w:rsidP="00434B48">
            <w:pPr>
              <w:spacing w:after="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Related Statutes</w:t>
            </w:r>
          </w:p>
          <w:p w14:paraId="671DC1F8" w14:textId="77777777" w:rsidR="009F215D" w:rsidRPr="000026AF" w:rsidRDefault="00BC6F07" w:rsidP="002D233B">
            <w:pPr>
              <w:spacing w:after="120" w:line="260" w:lineRule="exact"/>
              <w:ind w:left="720"/>
              <w:rPr>
                <w:rFonts w:ascii="Arial" w:hAnsi="Arial" w:cs="Arial"/>
                <w:bCs/>
                <w:color w:val="000000" w:themeColor="text1"/>
                <w:sz w:val="20"/>
                <w:szCs w:val="20"/>
              </w:rPr>
            </w:pPr>
            <w:r w:rsidRPr="0062689B">
              <w:rPr>
                <w:rFonts w:ascii="Arial" w:hAnsi="Arial" w:cs="Arial"/>
                <w:bCs/>
                <w:color w:val="000000" w:themeColor="text1"/>
                <w:sz w:val="20"/>
                <w:szCs w:val="20"/>
              </w:rPr>
              <w:t>Contacts/For Further Information</w:t>
            </w:r>
          </w:p>
        </w:tc>
        <w:tc>
          <w:tcPr>
            <w:tcW w:w="5334" w:type="dxa"/>
          </w:tcPr>
          <w:p w14:paraId="671DC1F9" w14:textId="77777777" w:rsidR="009F215D" w:rsidRPr="00B27E67" w:rsidRDefault="00BC6F07" w:rsidP="000026AF">
            <w:pPr>
              <w:spacing w:before="120" w:after="0" w:line="260" w:lineRule="exact"/>
              <w:rPr>
                <w:rFonts w:ascii="Arial" w:hAnsi="Arial" w:cs="Arial"/>
                <w:b/>
                <w:smallCaps/>
                <w:color w:val="000000" w:themeColor="text1"/>
                <w:sz w:val="20"/>
                <w:szCs w:val="20"/>
              </w:rPr>
            </w:pPr>
            <w:r w:rsidRPr="00B27E67">
              <w:rPr>
                <w:rFonts w:ascii="Arial" w:hAnsi="Arial" w:cs="Arial"/>
                <w:b/>
                <w:smallCaps/>
                <w:color w:val="000000" w:themeColor="text1"/>
                <w:sz w:val="20"/>
                <w:szCs w:val="20"/>
              </w:rPr>
              <w:t>Administrative Information</w:t>
            </w:r>
          </w:p>
          <w:p w14:paraId="07E91E25" w14:textId="77777777" w:rsidR="009053C9" w:rsidRPr="00B27E67" w:rsidRDefault="009053C9" w:rsidP="009053C9">
            <w:pPr>
              <w:spacing w:after="0" w:line="260" w:lineRule="exact"/>
              <w:rPr>
                <w:rFonts w:ascii="Arial" w:hAnsi="Arial" w:cs="Arial"/>
                <w:color w:val="000000" w:themeColor="text1"/>
                <w:sz w:val="20"/>
                <w:szCs w:val="20"/>
              </w:rPr>
            </w:pPr>
            <w:r w:rsidRPr="00B27E67">
              <w:rPr>
                <w:rFonts w:ascii="Arial" w:hAnsi="Arial" w:cs="Arial"/>
                <w:color w:val="000000" w:themeColor="text1"/>
                <w:sz w:val="20"/>
                <w:szCs w:val="20"/>
              </w:rPr>
              <w:t>Responsible Office: Occupational Health</w:t>
            </w:r>
          </w:p>
          <w:p w14:paraId="1536322F" w14:textId="413D733C" w:rsidR="009053C9" w:rsidRPr="00B27E67" w:rsidRDefault="009053C9" w:rsidP="009053C9">
            <w:pPr>
              <w:spacing w:after="0" w:line="260" w:lineRule="exact"/>
              <w:rPr>
                <w:rFonts w:ascii="Arial" w:hAnsi="Arial" w:cs="Arial"/>
                <w:color w:val="000000" w:themeColor="text1"/>
                <w:sz w:val="20"/>
                <w:szCs w:val="20"/>
              </w:rPr>
            </w:pPr>
            <w:r w:rsidRPr="00B27E67">
              <w:rPr>
                <w:rFonts w:ascii="Arial" w:hAnsi="Arial" w:cs="Arial"/>
                <w:color w:val="000000" w:themeColor="text1"/>
                <w:sz w:val="20"/>
                <w:szCs w:val="20"/>
              </w:rPr>
              <w:t xml:space="preserve">Executive Sponsor: </w:t>
            </w:r>
            <w:r w:rsidR="00271665" w:rsidRPr="006D2A86">
              <w:rPr>
                <w:rFonts w:ascii="Arial" w:hAnsi="Arial" w:cs="Arial"/>
                <w:color w:val="000000" w:themeColor="text1"/>
                <w:sz w:val="20"/>
                <w:szCs w:val="20"/>
              </w:rPr>
              <w:t>Manager, Occupational Health</w:t>
            </w:r>
          </w:p>
          <w:p w14:paraId="5B2FE627" w14:textId="15DD4DDD" w:rsidR="009053C9" w:rsidRPr="00B27E67" w:rsidRDefault="009053C9" w:rsidP="009053C9">
            <w:pPr>
              <w:spacing w:after="0" w:line="260" w:lineRule="exact"/>
              <w:rPr>
                <w:rFonts w:ascii="Arial" w:hAnsi="Arial" w:cs="Arial"/>
                <w:color w:val="000000" w:themeColor="text1"/>
                <w:sz w:val="20"/>
                <w:szCs w:val="20"/>
              </w:rPr>
            </w:pPr>
            <w:r w:rsidRPr="00B27E67">
              <w:rPr>
                <w:rFonts w:ascii="Arial" w:hAnsi="Arial" w:cs="Arial"/>
                <w:color w:val="000000" w:themeColor="text1"/>
                <w:sz w:val="20"/>
                <w:szCs w:val="20"/>
              </w:rPr>
              <w:t xml:space="preserve">Effective Date: </w:t>
            </w:r>
            <w:r w:rsidR="0081276C">
              <w:rPr>
                <w:rFonts w:ascii="Arial" w:hAnsi="Arial" w:cs="Arial"/>
                <w:color w:val="000000" w:themeColor="text1"/>
                <w:sz w:val="20"/>
                <w:szCs w:val="20"/>
              </w:rPr>
              <w:t>10/2023</w:t>
            </w:r>
          </w:p>
          <w:p w14:paraId="579D3F08" w14:textId="638A15A6" w:rsidR="009053C9" w:rsidRPr="00B27E67" w:rsidRDefault="009053C9" w:rsidP="009053C9">
            <w:pPr>
              <w:spacing w:after="0" w:line="260" w:lineRule="exact"/>
              <w:rPr>
                <w:rFonts w:ascii="Arial" w:hAnsi="Arial" w:cs="Arial"/>
                <w:color w:val="000000" w:themeColor="text1"/>
                <w:sz w:val="20"/>
                <w:szCs w:val="20"/>
              </w:rPr>
            </w:pPr>
            <w:r w:rsidRPr="00B27E67">
              <w:rPr>
                <w:rFonts w:ascii="Arial" w:hAnsi="Arial" w:cs="Arial"/>
                <w:color w:val="000000" w:themeColor="text1"/>
                <w:sz w:val="20"/>
                <w:szCs w:val="20"/>
              </w:rPr>
              <w:t xml:space="preserve">Last Reviewed: </w:t>
            </w:r>
            <w:r w:rsidR="0081276C">
              <w:rPr>
                <w:rFonts w:ascii="Arial" w:hAnsi="Arial" w:cs="Arial"/>
                <w:color w:val="000000" w:themeColor="text1"/>
                <w:sz w:val="20"/>
                <w:szCs w:val="20"/>
              </w:rPr>
              <w:t>10/2023</w:t>
            </w:r>
          </w:p>
          <w:p w14:paraId="46880014" w14:textId="249BE26A" w:rsidR="009053C9" w:rsidRPr="00B27E67" w:rsidRDefault="009053C9" w:rsidP="009053C9">
            <w:pPr>
              <w:spacing w:after="0" w:line="260" w:lineRule="exact"/>
              <w:rPr>
                <w:rFonts w:ascii="Arial" w:hAnsi="Arial" w:cs="Arial"/>
                <w:color w:val="000000" w:themeColor="text1"/>
                <w:sz w:val="20"/>
                <w:szCs w:val="20"/>
              </w:rPr>
            </w:pPr>
            <w:r w:rsidRPr="00B27E67">
              <w:rPr>
                <w:rFonts w:ascii="Arial" w:hAnsi="Arial" w:cs="Arial"/>
                <w:color w:val="000000" w:themeColor="text1"/>
                <w:sz w:val="20"/>
                <w:szCs w:val="20"/>
              </w:rPr>
              <w:t>Next Scheduled Review:</w:t>
            </w:r>
            <w:r w:rsidR="0081276C">
              <w:rPr>
                <w:rFonts w:ascii="Arial" w:hAnsi="Arial" w:cs="Arial"/>
                <w:color w:val="000000" w:themeColor="text1"/>
                <w:sz w:val="20"/>
                <w:szCs w:val="20"/>
              </w:rPr>
              <w:t xml:space="preserve"> 10/2028</w:t>
            </w:r>
            <w:r w:rsidR="00F85671" w:rsidRPr="00B27E67">
              <w:rPr>
                <w:rFonts w:ascii="Arial" w:hAnsi="Arial" w:cs="Arial"/>
                <w:color w:val="000000" w:themeColor="text1"/>
                <w:sz w:val="20"/>
                <w:szCs w:val="20"/>
              </w:rPr>
              <w:t xml:space="preserve"> </w:t>
            </w:r>
          </w:p>
          <w:p w14:paraId="6A77E7DD" w14:textId="77777777" w:rsidR="009053C9" w:rsidRPr="00B27E67" w:rsidRDefault="009053C9" w:rsidP="009053C9">
            <w:pPr>
              <w:spacing w:after="0" w:line="260" w:lineRule="exact"/>
              <w:rPr>
                <w:rFonts w:ascii="Arial" w:hAnsi="Arial" w:cs="Arial"/>
                <w:color w:val="000000" w:themeColor="text1"/>
                <w:sz w:val="20"/>
                <w:szCs w:val="20"/>
              </w:rPr>
            </w:pPr>
            <w:r w:rsidRPr="00B27E67">
              <w:rPr>
                <w:rFonts w:ascii="Arial" w:hAnsi="Arial" w:cs="Arial"/>
                <w:color w:val="000000" w:themeColor="text1"/>
                <w:sz w:val="20"/>
                <w:szCs w:val="20"/>
              </w:rPr>
              <w:t>Contact: Occupational Health 214-645-5300</w:t>
            </w:r>
          </w:p>
          <w:p w14:paraId="671DC200" w14:textId="77777777" w:rsidR="009F215D" w:rsidRPr="0062689B" w:rsidRDefault="009F215D" w:rsidP="00384B12">
            <w:pPr>
              <w:spacing w:after="0" w:line="240" w:lineRule="auto"/>
              <w:rPr>
                <w:rFonts w:ascii="Arial" w:hAnsi="Arial" w:cs="Arial"/>
                <w:bCs/>
                <w:color w:val="000000" w:themeColor="text1"/>
                <w:sz w:val="20"/>
                <w:szCs w:val="20"/>
              </w:rPr>
            </w:pPr>
          </w:p>
        </w:tc>
        <w:tc>
          <w:tcPr>
            <w:tcW w:w="294" w:type="dxa"/>
            <w:vAlign w:val="center"/>
          </w:tcPr>
          <w:p w14:paraId="671DC201" w14:textId="77777777" w:rsidR="009F215D" w:rsidRPr="0062689B" w:rsidRDefault="009F215D" w:rsidP="00384B12">
            <w:pPr>
              <w:spacing w:after="0" w:line="240" w:lineRule="auto"/>
              <w:rPr>
                <w:rFonts w:ascii="Arial" w:hAnsi="Arial" w:cs="Arial"/>
              </w:rPr>
            </w:pPr>
          </w:p>
        </w:tc>
      </w:tr>
      <w:tr w:rsidR="0057791F" w14:paraId="671DC204" w14:textId="77777777" w:rsidTr="0C1DA87D">
        <w:trPr>
          <w:trHeight w:val="288"/>
          <w:jc w:val="center"/>
        </w:trPr>
        <w:tc>
          <w:tcPr>
            <w:tcW w:w="10570" w:type="dxa"/>
            <w:gridSpan w:val="3"/>
            <w:shd w:val="clear" w:color="auto" w:fill="E1E1E1"/>
            <w:vAlign w:val="center"/>
          </w:tcPr>
          <w:p w14:paraId="671DC203" w14:textId="77777777" w:rsidR="009F215D" w:rsidRPr="0062689B" w:rsidRDefault="00BC6F07" w:rsidP="00384B12">
            <w:pPr>
              <w:spacing w:after="0" w:line="240" w:lineRule="auto"/>
              <w:rPr>
                <w:rFonts w:ascii="Arial" w:hAnsi="Arial" w:cs="Arial"/>
                <w:b/>
                <w:smallCaps/>
                <w:sz w:val="24"/>
                <w:szCs w:val="24"/>
              </w:rPr>
            </w:pPr>
            <w:r w:rsidRPr="0062689B">
              <w:rPr>
                <w:rFonts w:ascii="Arial" w:hAnsi="Arial" w:cs="Arial"/>
                <w:b/>
                <w:smallCaps/>
                <w:sz w:val="24"/>
                <w:szCs w:val="24"/>
              </w:rPr>
              <w:t>Policy Rationale and Text</w:t>
            </w:r>
          </w:p>
        </w:tc>
      </w:tr>
      <w:tr w:rsidR="0057791F" w14:paraId="671DC206" w14:textId="77777777" w:rsidTr="0C1DA87D">
        <w:trPr>
          <w:trHeight w:val="288"/>
          <w:jc w:val="center"/>
        </w:trPr>
        <w:tc>
          <w:tcPr>
            <w:tcW w:w="10570" w:type="dxa"/>
            <w:gridSpan w:val="3"/>
            <w:vAlign w:val="center"/>
          </w:tcPr>
          <w:p w14:paraId="671DC205" w14:textId="5537F89E" w:rsidR="00EC6796" w:rsidRPr="0062689B" w:rsidRDefault="00C443D4" w:rsidP="00434B48">
            <w:pPr>
              <w:spacing w:after="120" w:line="260" w:lineRule="exact"/>
              <w:contextualSpacing/>
              <w:rPr>
                <w:rFonts w:ascii="Arial" w:hAnsi="Arial" w:cs="Arial"/>
                <w:sz w:val="20"/>
                <w:szCs w:val="20"/>
              </w:rPr>
            </w:pPr>
            <w:r w:rsidRPr="00C443D4">
              <w:rPr>
                <w:rFonts w:ascii="Arial" w:hAnsi="Arial" w:cs="Arial"/>
                <w:sz w:val="20"/>
                <w:szCs w:val="20"/>
              </w:rPr>
              <w:t>This policy aims to risk stratify and guide diagnosis and chemoprophylaxis administration to all UT Southwestern employees exposed to an individual (Source) infected with infectious agents.</w:t>
            </w:r>
          </w:p>
        </w:tc>
      </w:tr>
      <w:tr w:rsidR="0057791F" w14:paraId="671DC208" w14:textId="77777777" w:rsidTr="0C1DA87D">
        <w:trPr>
          <w:trHeight w:val="288"/>
          <w:jc w:val="center"/>
        </w:trPr>
        <w:tc>
          <w:tcPr>
            <w:tcW w:w="10570" w:type="dxa"/>
            <w:gridSpan w:val="3"/>
            <w:shd w:val="clear" w:color="auto" w:fill="E1E1E1"/>
            <w:vAlign w:val="center"/>
          </w:tcPr>
          <w:p w14:paraId="671DC207" w14:textId="77777777" w:rsidR="009F215D" w:rsidRPr="0062689B" w:rsidRDefault="00BC6F07" w:rsidP="00384B12">
            <w:pPr>
              <w:spacing w:after="0" w:line="240" w:lineRule="auto"/>
              <w:rPr>
                <w:rFonts w:ascii="Arial" w:hAnsi="Arial" w:cs="Arial"/>
                <w:smallCaps/>
                <w:sz w:val="24"/>
                <w:szCs w:val="24"/>
              </w:rPr>
            </w:pPr>
            <w:r w:rsidRPr="0062689B">
              <w:rPr>
                <w:rFonts w:ascii="Arial" w:hAnsi="Arial" w:cs="Arial"/>
                <w:b/>
                <w:smallCaps/>
                <w:sz w:val="24"/>
                <w:szCs w:val="24"/>
              </w:rPr>
              <w:t>Scope</w:t>
            </w:r>
          </w:p>
        </w:tc>
      </w:tr>
      <w:tr w:rsidR="0057791F" w14:paraId="671DC20A" w14:textId="77777777" w:rsidTr="0C1DA87D">
        <w:trPr>
          <w:trHeight w:val="288"/>
          <w:jc w:val="center"/>
        </w:trPr>
        <w:tc>
          <w:tcPr>
            <w:tcW w:w="10570" w:type="dxa"/>
            <w:gridSpan w:val="3"/>
            <w:vAlign w:val="center"/>
          </w:tcPr>
          <w:p w14:paraId="671DC209" w14:textId="1CC68800" w:rsidR="009F215D" w:rsidRPr="00BF03C1" w:rsidRDefault="00C443D4" w:rsidP="00434B48">
            <w:pPr>
              <w:spacing w:after="120" w:line="260" w:lineRule="exact"/>
              <w:contextualSpacing/>
              <w:rPr>
                <w:rFonts w:ascii="Arial" w:hAnsi="Arial" w:cs="Arial"/>
                <w:sz w:val="20"/>
                <w:szCs w:val="20"/>
              </w:rPr>
            </w:pPr>
            <w:r w:rsidRPr="00C443D4">
              <w:rPr>
                <w:rStyle w:val="Emphasis"/>
                <w:rFonts w:ascii="Arial" w:eastAsiaTheme="minorEastAsia" w:hAnsi="Arial" w:cs="Arial"/>
                <w:sz w:val="20"/>
                <w:szCs w:val="20"/>
              </w:rPr>
              <w:t>This policy applies</w:t>
            </w:r>
            <w:r w:rsidRPr="00BF03C1">
              <w:rPr>
                <w:rStyle w:val="Emphasis"/>
                <w:rFonts w:ascii="Arial" w:hAnsi="Arial" w:cs="Arial"/>
                <w:sz w:val="20"/>
                <w:szCs w:val="20"/>
              </w:rPr>
              <w:t xml:space="preserve"> to all </w:t>
            </w:r>
            <w:r w:rsidRPr="00C443D4">
              <w:rPr>
                <w:rStyle w:val="Emphasis"/>
                <w:rFonts w:ascii="Arial" w:eastAsiaTheme="minorEastAsia" w:hAnsi="Arial" w:cs="Arial"/>
                <w:sz w:val="20"/>
                <w:szCs w:val="20"/>
              </w:rPr>
              <w:t>UT Southwestern employees, students, and volunteers working on and off the UT Southwestern campus. UT Southwestern employees exposed at Parkland Hospital, Children's Hospital, or VA Hospital should contact that hospital's Occupational Health as they follow their post-exposure procedures. UT Southwestern Occupational Health Clinic will provide testing and treatment to those exposed while performing work-related duties. Employees/students/volunteers exposed to outside work should seek testing and treatment through their primary care provider.</w:t>
            </w:r>
          </w:p>
        </w:tc>
      </w:tr>
      <w:tr w:rsidR="0057791F" w14:paraId="671DC20C" w14:textId="77777777" w:rsidTr="0C1DA87D">
        <w:trPr>
          <w:trHeight w:val="288"/>
          <w:jc w:val="center"/>
        </w:trPr>
        <w:tc>
          <w:tcPr>
            <w:tcW w:w="10570" w:type="dxa"/>
            <w:gridSpan w:val="3"/>
            <w:shd w:val="clear" w:color="auto" w:fill="E1E1E1"/>
            <w:vAlign w:val="center"/>
          </w:tcPr>
          <w:p w14:paraId="671DC20B" w14:textId="77777777" w:rsidR="009F215D" w:rsidRPr="0062689B" w:rsidRDefault="00BC6F07" w:rsidP="00A429A0">
            <w:pPr>
              <w:spacing w:after="0" w:line="240" w:lineRule="auto"/>
              <w:rPr>
                <w:rFonts w:ascii="Arial" w:hAnsi="Arial" w:cs="Arial"/>
                <w:b/>
                <w:smallCaps/>
                <w:sz w:val="24"/>
                <w:szCs w:val="24"/>
              </w:rPr>
            </w:pPr>
            <w:r>
              <w:rPr>
                <w:rFonts w:ascii="Arial" w:hAnsi="Arial" w:cs="Arial"/>
                <w:b/>
                <w:smallCaps/>
                <w:sz w:val="24"/>
                <w:szCs w:val="24"/>
              </w:rPr>
              <w:t>Procedures</w:t>
            </w:r>
          </w:p>
        </w:tc>
      </w:tr>
      <w:tr w:rsidR="0057791F" w14:paraId="671DC20E" w14:textId="77777777" w:rsidTr="0C1DA87D">
        <w:trPr>
          <w:trHeight w:val="288"/>
          <w:jc w:val="center"/>
        </w:trPr>
        <w:tc>
          <w:tcPr>
            <w:tcW w:w="10570" w:type="dxa"/>
            <w:gridSpan w:val="3"/>
            <w:vAlign w:val="center"/>
          </w:tcPr>
          <w:p w14:paraId="2398DB3E" w14:textId="29259972" w:rsidR="00F1546B" w:rsidRPr="00F1546B" w:rsidRDefault="00F1546B" w:rsidP="00F1546B">
            <w:pPr>
              <w:spacing w:after="120" w:line="260" w:lineRule="exact"/>
              <w:contextualSpacing/>
              <w:rPr>
                <w:rFonts w:ascii="Arial" w:hAnsi="Arial" w:cs="Arial"/>
                <w:b/>
                <w:sz w:val="20"/>
                <w:szCs w:val="20"/>
              </w:rPr>
            </w:pPr>
            <w:r w:rsidRPr="00F1546B">
              <w:rPr>
                <w:rFonts w:ascii="Arial" w:hAnsi="Arial" w:cs="Arial"/>
                <w:b/>
                <w:sz w:val="20"/>
                <w:szCs w:val="20"/>
              </w:rPr>
              <w:t>General Information:</w:t>
            </w:r>
          </w:p>
          <w:p w14:paraId="3A1F9518" w14:textId="77777777" w:rsidR="00F1546B" w:rsidRPr="00F1546B" w:rsidRDefault="00F1546B" w:rsidP="00F1546B">
            <w:pPr>
              <w:spacing w:after="120" w:line="260" w:lineRule="exact"/>
              <w:contextualSpacing/>
              <w:rPr>
                <w:rFonts w:ascii="Arial" w:hAnsi="Arial" w:cs="Arial"/>
                <w:sz w:val="20"/>
                <w:szCs w:val="20"/>
              </w:rPr>
            </w:pPr>
          </w:p>
          <w:p w14:paraId="68A77CB4" w14:textId="77777777" w:rsidR="00F1546B" w:rsidRPr="00F1546B" w:rsidRDefault="00F1546B" w:rsidP="00F1546B">
            <w:pPr>
              <w:spacing w:after="120" w:line="260" w:lineRule="exact"/>
              <w:contextualSpacing/>
              <w:rPr>
                <w:rFonts w:ascii="Arial" w:hAnsi="Arial" w:cs="Arial"/>
                <w:sz w:val="20"/>
                <w:szCs w:val="20"/>
              </w:rPr>
            </w:pPr>
            <w:r w:rsidRPr="00F1546B">
              <w:rPr>
                <w:rFonts w:ascii="Arial" w:hAnsi="Arial" w:cs="Arial"/>
                <w:sz w:val="20"/>
                <w:szCs w:val="20"/>
              </w:rPr>
              <w:t xml:space="preserve">Infectious diseases can not only make the infected individuals sick, but they can also spread, thus affecting others. This policy summarizes Centers for Disease Control and Prevention (CDC) recommendations for surveillance, management, and prevention of certain infectious diseases. These guidelines are intended to help supervisors and Occupational Health staff guide the selection of post-exposure prophylaxis (PEP) treatment and work restrictions to minimize harm. </w:t>
            </w:r>
          </w:p>
          <w:p w14:paraId="7C67EE10" w14:textId="77777777" w:rsidR="00F1546B" w:rsidRPr="00F1546B" w:rsidRDefault="00F1546B" w:rsidP="00F1546B">
            <w:pPr>
              <w:spacing w:after="120" w:line="260" w:lineRule="exact"/>
              <w:contextualSpacing/>
              <w:rPr>
                <w:rFonts w:ascii="Arial" w:hAnsi="Arial" w:cs="Arial"/>
                <w:sz w:val="20"/>
                <w:szCs w:val="20"/>
              </w:rPr>
            </w:pPr>
          </w:p>
          <w:p w14:paraId="3A24D280" w14:textId="35629242" w:rsidR="00F1546B" w:rsidRPr="00F1546B" w:rsidRDefault="00F1546B" w:rsidP="00F1546B">
            <w:pPr>
              <w:spacing w:after="120" w:line="260" w:lineRule="exact"/>
              <w:contextualSpacing/>
              <w:rPr>
                <w:rFonts w:ascii="Arial" w:hAnsi="Arial" w:cs="Arial"/>
                <w:b/>
                <w:sz w:val="20"/>
                <w:szCs w:val="20"/>
              </w:rPr>
            </w:pPr>
            <w:r w:rsidRPr="00F1546B">
              <w:rPr>
                <w:rFonts w:ascii="Arial" w:hAnsi="Arial" w:cs="Arial"/>
                <w:b/>
                <w:sz w:val="20"/>
                <w:szCs w:val="20"/>
              </w:rPr>
              <w:t xml:space="preserve">Significant exposure: </w:t>
            </w:r>
          </w:p>
          <w:p w14:paraId="31AC478D" w14:textId="77777777" w:rsidR="00F1546B" w:rsidRPr="00F1546B" w:rsidRDefault="00F1546B" w:rsidP="00F1546B">
            <w:pPr>
              <w:spacing w:after="120" w:line="260" w:lineRule="exact"/>
              <w:contextualSpacing/>
              <w:rPr>
                <w:rFonts w:ascii="Arial" w:hAnsi="Arial" w:cs="Arial"/>
                <w:sz w:val="20"/>
                <w:szCs w:val="20"/>
              </w:rPr>
            </w:pPr>
          </w:p>
          <w:p w14:paraId="3941B7E7" w14:textId="77777777" w:rsidR="00F1546B" w:rsidRPr="00F1546B" w:rsidRDefault="00F1546B" w:rsidP="00F1546B">
            <w:pPr>
              <w:spacing w:after="120" w:line="260" w:lineRule="exact"/>
              <w:contextualSpacing/>
              <w:rPr>
                <w:rFonts w:ascii="Arial" w:hAnsi="Arial" w:cs="Arial"/>
                <w:sz w:val="20"/>
                <w:szCs w:val="20"/>
              </w:rPr>
            </w:pPr>
            <w:r w:rsidRPr="00F1546B">
              <w:rPr>
                <w:rFonts w:ascii="Arial" w:hAnsi="Arial" w:cs="Arial"/>
                <w:sz w:val="20"/>
                <w:szCs w:val="20"/>
              </w:rPr>
              <w:t xml:space="preserve">In the event of exposure to an infectious agent, </w:t>
            </w:r>
            <w:proofErr w:type="gramStart"/>
            <w:r w:rsidRPr="00F1546B">
              <w:rPr>
                <w:rFonts w:ascii="Arial" w:hAnsi="Arial" w:cs="Arial"/>
                <w:sz w:val="20"/>
                <w:szCs w:val="20"/>
              </w:rPr>
              <w:t>the Occupational</w:t>
            </w:r>
            <w:proofErr w:type="gramEnd"/>
            <w:r w:rsidRPr="00F1546B">
              <w:rPr>
                <w:rFonts w:ascii="Arial" w:hAnsi="Arial" w:cs="Arial"/>
                <w:sz w:val="20"/>
                <w:szCs w:val="20"/>
              </w:rPr>
              <w:t xml:space="preserve"> Health should be contacted to facilitate management. The Infection Prevention (IP) team has the authority to perform epidemiologic investigation and direct employees to obtain testing through Occupational Health. </w:t>
            </w:r>
          </w:p>
          <w:p w14:paraId="2938DDEE" w14:textId="77777777" w:rsidR="00F1546B" w:rsidRPr="00F1546B" w:rsidRDefault="00F1546B" w:rsidP="00F1546B">
            <w:pPr>
              <w:spacing w:after="120" w:line="260" w:lineRule="exact"/>
              <w:contextualSpacing/>
              <w:rPr>
                <w:rFonts w:ascii="Arial" w:hAnsi="Arial" w:cs="Arial"/>
                <w:sz w:val="20"/>
                <w:szCs w:val="20"/>
              </w:rPr>
            </w:pPr>
          </w:p>
          <w:p w14:paraId="05A6B21B" w14:textId="4C1F5690" w:rsidR="00F1546B" w:rsidRPr="00F1546B" w:rsidRDefault="00F1546B" w:rsidP="00F1546B">
            <w:pPr>
              <w:spacing w:after="120" w:line="260" w:lineRule="exact"/>
              <w:contextualSpacing/>
              <w:rPr>
                <w:rFonts w:ascii="Arial" w:hAnsi="Arial" w:cs="Arial"/>
                <w:b/>
                <w:sz w:val="20"/>
                <w:szCs w:val="20"/>
              </w:rPr>
            </w:pPr>
            <w:r w:rsidRPr="00F1546B">
              <w:rPr>
                <w:rFonts w:ascii="Arial" w:hAnsi="Arial" w:cs="Arial"/>
                <w:b/>
                <w:sz w:val="20"/>
                <w:szCs w:val="20"/>
              </w:rPr>
              <w:t>Testing:</w:t>
            </w:r>
          </w:p>
          <w:p w14:paraId="670B6396" w14:textId="77777777" w:rsidR="00F1546B" w:rsidRPr="00F1546B" w:rsidRDefault="00F1546B" w:rsidP="00F1546B">
            <w:pPr>
              <w:spacing w:after="120" w:line="260" w:lineRule="exact"/>
              <w:contextualSpacing/>
              <w:rPr>
                <w:rFonts w:ascii="Arial" w:hAnsi="Arial" w:cs="Arial"/>
                <w:sz w:val="20"/>
                <w:szCs w:val="20"/>
              </w:rPr>
            </w:pPr>
          </w:p>
          <w:p w14:paraId="3AF87105" w14:textId="77777777" w:rsidR="00F1546B" w:rsidRPr="00F1546B" w:rsidRDefault="00F1546B" w:rsidP="00F1546B">
            <w:pPr>
              <w:spacing w:after="120" w:line="260" w:lineRule="exact"/>
              <w:contextualSpacing/>
              <w:rPr>
                <w:rFonts w:ascii="Arial" w:hAnsi="Arial" w:cs="Arial"/>
                <w:sz w:val="20"/>
                <w:szCs w:val="20"/>
              </w:rPr>
            </w:pPr>
            <w:r w:rsidRPr="00F1546B">
              <w:rPr>
                <w:rFonts w:ascii="Arial" w:hAnsi="Arial" w:cs="Arial"/>
                <w:sz w:val="20"/>
                <w:szCs w:val="20"/>
              </w:rPr>
              <w:t xml:space="preserve">These recommendations aim to contain any employee illness and prevent its spread to others. Employees exhibiting infectious disease symptoms should notify their supervisor, immediately stop patient care and group interactions, and contact Occupational Health for further guidance (see agent-specific work restrictions Table 1 below). For work-acquired infections, Occupational Health will arrange all initial and follow-up testing. For infections </w:t>
            </w:r>
            <w:r w:rsidRPr="00F1546B">
              <w:rPr>
                <w:rFonts w:ascii="Arial" w:hAnsi="Arial" w:cs="Arial"/>
                <w:sz w:val="20"/>
                <w:szCs w:val="20"/>
              </w:rPr>
              <w:lastRenderedPageBreak/>
              <w:t>acquired outside of work, testing and management must be performed by the employee's primary care provider or the Texas Department of Health.</w:t>
            </w:r>
          </w:p>
          <w:p w14:paraId="6814AC7F" w14:textId="77777777" w:rsidR="00F1546B" w:rsidRPr="00F1546B" w:rsidRDefault="00F1546B" w:rsidP="00F1546B">
            <w:pPr>
              <w:spacing w:after="120" w:line="260" w:lineRule="exact"/>
              <w:contextualSpacing/>
              <w:rPr>
                <w:rFonts w:ascii="Arial" w:hAnsi="Arial" w:cs="Arial"/>
                <w:sz w:val="20"/>
                <w:szCs w:val="20"/>
              </w:rPr>
            </w:pPr>
          </w:p>
          <w:p w14:paraId="7C2A829D" w14:textId="77777777" w:rsidR="00F1546B" w:rsidRPr="00F1546B" w:rsidRDefault="00F1546B" w:rsidP="00F1546B">
            <w:pPr>
              <w:spacing w:after="120" w:line="260" w:lineRule="exact"/>
              <w:contextualSpacing/>
              <w:rPr>
                <w:rFonts w:ascii="Arial" w:hAnsi="Arial" w:cs="Arial"/>
                <w:sz w:val="20"/>
                <w:szCs w:val="20"/>
              </w:rPr>
            </w:pPr>
            <w:r w:rsidRPr="00F1546B">
              <w:rPr>
                <w:rFonts w:ascii="Arial" w:hAnsi="Arial" w:cs="Arial"/>
                <w:sz w:val="20"/>
                <w:szCs w:val="20"/>
              </w:rPr>
              <w:t>Employees providing direct patient care should be aware of any infectious symptoms they might be experiencing, as they could make their patients sick. Employees who develop the following symptoms at work should contact Occupational Health for further guidance:</w:t>
            </w:r>
          </w:p>
          <w:p w14:paraId="05E1B241" w14:textId="617AA4D0" w:rsidR="00F1546B" w:rsidRPr="00F1546B" w:rsidRDefault="00F1546B" w:rsidP="00F1546B">
            <w:pPr>
              <w:pStyle w:val="ListParagraph"/>
              <w:numPr>
                <w:ilvl w:val="0"/>
                <w:numId w:val="29"/>
              </w:numPr>
              <w:spacing w:after="120" w:line="260" w:lineRule="exact"/>
              <w:rPr>
                <w:rFonts w:ascii="Arial" w:hAnsi="Arial" w:cs="Arial"/>
                <w:sz w:val="20"/>
                <w:szCs w:val="20"/>
              </w:rPr>
            </w:pPr>
            <w:r w:rsidRPr="00F1546B">
              <w:rPr>
                <w:rFonts w:ascii="Arial" w:hAnsi="Arial" w:cs="Arial"/>
                <w:sz w:val="20"/>
                <w:szCs w:val="20"/>
              </w:rPr>
              <w:t>Elevated temperature</w:t>
            </w:r>
          </w:p>
          <w:p w14:paraId="3E802CC6" w14:textId="6FF205EE" w:rsidR="00F1546B" w:rsidRPr="00F1546B" w:rsidRDefault="00F1546B" w:rsidP="00F1546B">
            <w:pPr>
              <w:pStyle w:val="ListParagraph"/>
              <w:numPr>
                <w:ilvl w:val="0"/>
                <w:numId w:val="29"/>
              </w:numPr>
              <w:spacing w:after="120" w:line="260" w:lineRule="exact"/>
              <w:rPr>
                <w:rFonts w:ascii="Arial" w:hAnsi="Arial" w:cs="Arial"/>
                <w:sz w:val="20"/>
                <w:szCs w:val="20"/>
              </w:rPr>
            </w:pPr>
            <w:r w:rsidRPr="00F1546B">
              <w:rPr>
                <w:rFonts w:ascii="Arial" w:hAnsi="Arial" w:cs="Arial"/>
                <w:sz w:val="20"/>
                <w:szCs w:val="20"/>
              </w:rPr>
              <w:t>Upper respiratory infection</w:t>
            </w:r>
          </w:p>
          <w:p w14:paraId="56427481" w14:textId="2DE17346" w:rsidR="00F1546B" w:rsidRPr="00F1546B" w:rsidRDefault="00F1546B" w:rsidP="00F1546B">
            <w:pPr>
              <w:pStyle w:val="ListParagraph"/>
              <w:numPr>
                <w:ilvl w:val="0"/>
                <w:numId w:val="29"/>
              </w:numPr>
              <w:spacing w:after="120" w:line="260" w:lineRule="exact"/>
              <w:rPr>
                <w:rFonts w:ascii="Arial" w:hAnsi="Arial" w:cs="Arial"/>
                <w:sz w:val="20"/>
                <w:szCs w:val="20"/>
              </w:rPr>
            </w:pPr>
            <w:r w:rsidRPr="00F1546B">
              <w:rPr>
                <w:rFonts w:ascii="Arial" w:hAnsi="Arial" w:cs="Arial"/>
                <w:sz w:val="20"/>
                <w:szCs w:val="20"/>
              </w:rPr>
              <w:t>Vomiting or diarrhea</w:t>
            </w:r>
          </w:p>
          <w:p w14:paraId="4E7C6B21" w14:textId="4AD0D09F" w:rsidR="00F1546B" w:rsidRPr="00F1546B" w:rsidRDefault="00F1546B" w:rsidP="00F1546B">
            <w:pPr>
              <w:pStyle w:val="ListParagraph"/>
              <w:numPr>
                <w:ilvl w:val="0"/>
                <w:numId w:val="29"/>
              </w:numPr>
              <w:spacing w:after="120" w:line="260" w:lineRule="exact"/>
              <w:rPr>
                <w:rFonts w:ascii="Arial" w:hAnsi="Arial" w:cs="Arial"/>
                <w:sz w:val="20"/>
                <w:szCs w:val="20"/>
              </w:rPr>
            </w:pPr>
            <w:r w:rsidRPr="00F1546B">
              <w:rPr>
                <w:rFonts w:ascii="Arial" w:hAnsi="Arial" w:cs="Arial"/>
                <w:sz w:val="20"/>
                <w:szCs w:val="20"/>
              </w:rPr>
              <w:t>Draining skin lesions</w:t>
            </w:r>
          </w:p>
          <w:p w14:paraId="1626AAE8" w14:textId="7A852B33" w:rsidR="00F1546B" w:rsidRPr="00F1546B" w:rsidRDefault="00F1546B" w:rsidP="00F1546B">
            <w:pPr>
              <w:pStyle w:val="ListParagraph"/>
              <w:numPr>
                <w:ilvl w:val="0"/>
                <w:numId w:val="29"/>
              </w:numPr>
              <w:spacing w:after="120" w:line="260" w:lineRule="exact"/>
              <w:rPr>
                <w:rFonts w:ascii="Arial" w:hAnsi="Arial" w:cs="Arial"/>
                <w:sz w:val="20"/>
                <w:szCs w:val="20"/>
              </w:rPr>
            </w:pPr>
            <w:r w:rsidRPr="00F1546B">
              <w:rPr>
                <w:rFonts w:ascii="Arial" w:hAnsi="Arial" w:cs="Arial"/>
                <w:sz w:val="20"/>
                <w:szCs w:val="20"/>
              </w:rPr>
              <w:t>Orofacial herpes lesions or herpetic infection of the hands or fingers</w:t>
            </w:r>
          </w:p>
          <w:p w14:paraId="6477388E" w14:textId="77777777" w:rsidR="00F1546B" w:rsidRPr="00F1546B" w:rsidRDefault="00F1546B" w:rsidP="00F1546B">
            <w:pPr>
              <w:spacing w:after="120" w:line="260" w:lineRule="exact"/>
              <w:contextualSpacing/>
              <w:rPr>
                <w:rFonts w:ascii="Arial" w:hAnsi="Arial" w:cs="Arial"/>
                <w:sz w:val="20"/>
                <w:szCs w:val="20"/>
              </w:rPr>
            </w:pPr>
          </w:p>
          <w:p w14:paraId="4CC19B38" w14:textId="77777777" w:rsidR="00F1546B" w:rsidRPr="00F1546B" w:rsidRDefault="00F1546B" w:rsidP="00F1546B">
            <w:pPr>
              <w:spacing w:after="120" w:line="260" w:lineRule="exact"/>
              <w:contextualSpacing/>
              <w:rPr>
                <w:rFonts w:ascii="Arial" w:hAnsi="Arial" w:cs="Arial"/>
                <w:sz w:val="20"/>
                <w:szCs w:val="20"/>
              </w:rPr>
            </w:pPr>
            <w:r w:rsidRPr="00F1546B">
              <w:rPr>
                <w:rFonts w:ascii="Arial" w:hAnsi="Arial" w:cs="Arial"/>
                <w:sz w:val="20"/>
                <w:szCs w:val="20"/>
              </w:rPr>
              <w:t xml:space="preserve">Nutrition Service Employees (NSE) are important in preparing and handling patients' and fellow employees' food. Because one infected NSE can cause disease in many more patients and employees, NSEs must be diligent in self-identifying any contagious illnesses. </w:t>
            </w:r>
          </w:p>
          <w:p w14:paraId="3A6C81F2" w14:textId="637F46E0" w:rsidR="00F1546B" w:rsidRPr="00F1546B" w:rsidRDefault="00F1546B" w:rsidP="00F1546B">
            <w:pPr>
              <w:pStyle w:val="ListParagraph"/>
              <w:numPr>
                <w:ilvl w:val="0"/>
                <w:numId w:val="29"/>
              </w:numPr>
              <w:spacing w:after="120" w:line="260" w:lineRule="exact"/>
              <w:rPr>
                <w:rFonts w:ascii="Arial" w:hAnsi="Arial" w:cs="Arial"/>
                <w:sz w:val="20"/>
                <w:szCs w:val="20"/>
              </w:rPr>
            </w:pPr>
            <w:r w:rsidRPr="00F1546B">
              <w:rPr>
                <w:rFonts w:ascii="Arial" w:hAnsi="Arial" w:cs="Arial"/>
                <w:sz w:val="20"/>
                <w:szCs w:val="20"/>
              </w:rPr>
              <w:t>Occupational Health must clear all NSEs with a recent gastrointestinal illness before returning to duty. Laboratory testing and Infection Prevention clearance may be required for some illnesses before returning to work.</w:t>
            </w:r>
          </w:p>
          <w:p w14:paraId="6FC1E924" w14:textId="12BBE62B" w:rsidR="00F1546B" w:rsidRPr="00F1546B" w:rsidRDefault="00F1546B" w:rsidP="00F1546B">
            <w:pPr>
              <w:pStyle w:val="ListParagraph"/>
              <w:numPr>
                <w:ilvl w:val="0"/>
                <w:numId w:val="29"/>
              </w:numPr>
              <w:spacing w:after="120" w:line="260" w:lineRule="exact"/>
              <w:rPr>
                <w:rFonts w:ascii="Arial" w:hAnsi="Arial" w:cs="Arial"/>
                <w:sz w:val="20"/>
                <w:szCs w:val="20"/>
              </w:rPr>
            </w:pPr>
            <w:r w:rsidRPr="00F1546B">
              <w:rPr>
                <w:rFonts w:ascii="Arial" w:hAnsi="Arial" w:cs="Arial"/>
                <w:sz w:val="20"/>
                <w:szCs w:val="20"/>
              </w:rPr>
              <w:t xml:space="preserve">NSEs with open skin lesions on their hands should report to Occupational Health for evaluation.   </w:t>
            </w:r>
          </w:p>
          <w:p w14:paraId="7D1A0E2C" w14:textId="77777777" w:rsidR="00F1546B" w:rsidRPr="00F1546B" w:rsidRDefault="00F1546B" w:rsidP="00F1546B">
            <w:pPr>
              <w:spacing w:after="120" w:line="260" w:lineRule="exact"/>
              <w:contextualSpacing/>
              <w:rPr>
                <w:rFonts w:ascii="Arial" w:hAnsi="Arial" w:cs="Arial"/>
                <w:sz w:val="20"/>
                <w:szCs w:val="20"/>
              </w:rPr>
            </w:pPr>
          </w:p>
          <w:p w14:paraId="607E92A6" w14:textId="77777777" w:rsidR="00F1546B" w:rsidRPr="006B7E0C" w:rsidRDefault="00F1546B" w:rsidP="00F1546B">
            <w:pPr>
              <w:spacing w:after="120" w:line="260" w:lineRule="exact"/>
              <w:contextualSpacing/>
              <w:rPr>
                <w:rFonts w:ascii="Arial" w:hAnsi="Arial" w:cs="Arial"/>
                <w:b/>
                <w:sz w:val="20"/>
                <w:szCs w:val="20"/>
              </w:rPr>
            </w:pPr>
            <w:r w:rsidRPr="006B7E0C">
              <w:rPr>
                <w:rFonts w:ascii="Arial" w:hAnsi="Arial" w:cs="Arial"/>
                <w:b/>
                <w:sz w:val="20"/>
                <w:szCs w:val="20"/>
              </w:rPr>
              <w:t>Table 1.  Summary of Important Recommendations and Work Restriction</w:t>
            </w:r>
          </w:p>
          <w:p w14:paraId="2BBB71A4" w14:textId="04136CAD" w:rsidR="00F1546B" w:rsidRDefault="00F1546B" w:rsidP="00F1546B">
            <w:pPr>
              <w:spacing w:after="120" w:line="260" w:lineRule="exact"/>
              <w:contextualSpacing/>
              <w:rPr>
                <w:rFonts w:ascii="Arial" w:hAnsi="Arial" w:cs="Arial"/>
                <w:sz w:val="20"/>
                <w:szCs w:val="20"/>
              </w:rPr>
            </w:pPr>
          </w:p>
          <w:tbl>
            <w:tblPr>
              <w:tblW w:w="10080" w:type="dxa"/>
              <w:tblLook w:val="04A0" w:firstRow="1" w:lastRow="0" w:firstColumn="1" w:lastColumn="0" w:noHBand="0" w:noVBand="1"/>
            </w:tblPr>
            <w:tblGrid>
              <w:gridCol w:w="1600"/>
              <w:gridCol w:w="3820"/>
              <w:gridCol w:w="4660"/>
            </w:tblGrid>
            <w:tr w:rsidR="00EC61E6" w:rsidRPr="00EC61E6" w14:paraId="6B4E0CAB" w14:textId="77777777" w:rsidTr="0C1DA87D">
              <w:trPr>
                <w:trHeight w:val="204"/>
              </w:trPr>
              <w:tc>
                <w:tcPr>
                  <w:tcW w:w="1600" w:type="dxa"/>
                  <w:tcBorders>
                    <w:top w:val="single" w:sz="4" w:space="0" w:color="000000" w:themeColor="text1"/>
                    <w:left w:val="single" w:sz="4" w:space="0" w:color="000000" w:themeColor="text1"/>
                    <w:bottom w:val="nil"/>
                    <w:right w:val="nil"/>
                  </w:tcBorders>
                  <w:shd w:val="clear" w:color="auto" w:fill="000000" w:themeFill="text1"/>
                  <w:vAlign w:val="bottom"/>
                  <w:hideMark/>
                </w:tcPr>
                <w:p w14:paraId="37358BB5" w14:textId="77777777" w:rsidR="00EC61E6" w:rsidRPr="00EC61E6" w:rsidRDefault="00EC61E6" w:rsidP="00EC61E6">
                  <w:pPr>
                    <w:spacing w:after="0" w:line="240" w:lineRule="auto"/>
                    <w:rPr>
                      <w:rFonts w:ascii="Calibri" w:eastAsia="Times New Roman" w:hAnsi="Calibri" w:cs="Calibri"/>
                      <w:b/>
                      <w:bCs/>
                      <w:color w:val="FFFFFF"/>
                      <w:sz w:val="16"/>
                      <w:szCs w:val="16"/>
                    </w:rPr>
                  </w:pPr>
                  <w:r w:rsidRPr="00EC61E6">
                    <w:rPr>
                      <w:rFonts w:ascii="Calibri" w:eastAsia="Times New Roman" w:hAnsi="Calibri" w:cs="Calibri"/>
                      <w:b/>
                      <w:bCs/>
                      <w:color w:val="FFFFFF"/>
                      <w:sz w:val="16"/>
                      <w:szCs w:val="16"/>
                    </w:rPr>
                    <w:t>Symptoms/Disease</w:t>
                  </w:r>
                </w:p>
              </w:tc>
              <w:tc>
                <w:tcPr>
                  <w:tcW w:w="3820" w:type="dxa"/>
                  <w:tcBorders>
                    <w:top w:val="single" w:sz="4" w:space="0" w:color="000000" w:themeColor="text1"/>
                    <w:left w:val="nil"/>
                    <w:bottom w:val="nil"/>
                    <w:right w:val="nil"/>
                  </w:tcBorders>
                  <w:shd w:val="clear" w:color="auto" w:fill="000000" w:themeFill="text1"/>
                  <w:vAlign w:val="bottom"/>
                  <w:hideMark/>
                </w:tcPr>
                <w:p w14:paraId="1C3D742D" w14:textId="77777777" w:rsidR="00EC61E6" w:rsidRPr="00EC61E6" w:rsidRDefault="00EC61E6" w:rsidP="00EC61E6">
                  <w:pPr>
                    <w:spacing w:after="0" w:line="240" w:lineRule="auto"/>
                    <w:rPr>
                      <w:rFonts w:ascii="Calibri" w:eastAsia="Times New Roman" w:hAnsi="Calibri" w:cs="Calibri"/>
                      <w:b/>
                      <w:bCs/>
                      <w:color w:val="FFFFFF"/>
                      <w:sz w:val="16"/>
                      <w:szCs w:val="16"/>
                    </w:rPr>
                  </w:pPr>
                  <w:r w:rsidRPr="00EC61E6">
                    <w:rPr>
                      <w:rFonts w:ascii="Calibri" w:eastAsia="Times New Roman" w:hAnsi="Calibri" w:cs="Calibri"/>
                      <w:b/>
                      <w:bCs/>
                      <w:color w:val="FFFFFF"/>
                      <w:sz w:val="16"/>
                      <w:szCs w:val="16"/>
                    </w:rPr>
                    <w:t>Post Exposure Prophylaxis (PEP)</w:t>
                  </w:r>
                </w:p>
              </w:tc>
              <w:tc>
                <w:tcPr>
                  <w:tcW w:w="4660" w:type="dxa"/>
                  <w:tcBorders>
                    <w:top w:val="single" w:sz="4" w:space="0" w:color="000000" w:themeColor="text1"/>
                    <w:left w:val="nil"/>
                    <w:bottom w:val="nil"/>
                    <w:right w:val="single" w:sz="4" w:space="0" w:color="000000" w:themeColor="text1"/>
                  </w:tcBorders>
                  <w:shd w:val="clear" w:color="auto" w:fill="000000" w:themeFill="text1"/>
                  <w:vAlign w:val="bottom"/>
                  <w:hideMark/>
                </w:tcPr>
                <w:p w14:paraId="7C9E9884" w14:textId="77777777" w:rsidR="00EC61E6" w:rsidRPr="00EC61E6" w:rsidRDefault="00EC61E6" w:rsidP="00EC61E6">
                  <w:pPr>
                    <w:spacing w:after="0" w:line="240" w:lineRule="auto"/>
                    <w:rPr>
                      <w:rFonts w:ascii="Calibri" w:eastAsia="Times New Roman" w:hAnsi="Calibri" w:cs="Calibri"/>
                      <w:b/>
                      <w:bCs/>
                      <w:color w:val="FFFFFF"/>
                      <w:sz w:val="16"/>
                      <w:szCs w:val="16"/>
                    </w:rPr>
                  </w:pPr>
                  <w:r w:rsidRPr="00EC61E6">
                    <w:rPr>
                      <w:rFonts w:ascii="Calibri" w:eastAsia="Times New Roman" w:hAnsi="Calibri" w:cs="Calibri"/>
                      <w:b/>
                      <w:bCs/>
                      <w:color w:val="FFFFFF"/>
                      <w:sz w:val="16"/>
                      <w:szCs w:val="16"/>
                    </w:rPr>
                    <w:t>Furlough Instructions</w:t>
                  </w:r>
                </w:p>
              </w:tc>
            </w:tr>
            <w:tr w:rsidR="00EC61E6" w:rsidRPr="00EC61E6" w14:paraId="3DDE1046"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2C48DAC2"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Bedbugs</w:t>
                  </w:r>
                </w:p>
              </w:tc>
              <w:tc>
                <w:tcPr>
                  <w:tcW w:w="3820" w:type="dxa"/>
                  <w:tcBorders>
                    <w:top w:val="single" w:sz="4" w:space="0" w:color="000000" w:themeColor="text1"/>
                    <w:left w:val="nil"/>
                    <w:bottom w:val="nil"/>
                    <w:right w:val="nil"/>
                  </w:tcBorders>
                  <w:vAlign w:val="center"/>
                  <w:hideMark/>
                </w:tcPr>
                <w:p w14:paraId="01FD07D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632281E5"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Infection: no work restrictions but should use clean clothes that do not have bedbugs</w:t>
                  </w:r>
                </w:p>
              </w:tc>
            </w:tr>
            <w:tr w:rsidR="00EC61E6" w:rsidRPr="00EC61E6" w14:paraId="0A74CE12" w14:textId="77777777" w:rsidTr="0C1DA87D">
              <w:trPr>
                <w:trHeight w:val="408"/>
              </w:trPr>
              <w:tc>
                <w:tcPr>
                  <w:tcW w:w="1600" w:type="dxa"/>
                  <w:tcBorders>
                    <w:top w:val="single" w:sz="4" w:space="0" w:color="000000" w:themeColor="text1"/>
                    <w:left w:val="single" w:sz="4" w:space="0" w:color="000000" w:themeColor="text1"/>
                    <w:bottom w:val="nil"/>
                    <w:right w:val="nil"/>
                  </w:tcBorders>
                  <w:vAlign w:val="center"/>
                  <w:hideMark/>
                </w:tcPr>
                <w:p w14:paraId="0B23355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Conjunctivitis, Infectious</w:t>
                  </w:r>
                </w:p>
              </w:tc>
              <w:tc>
                <w:tcPr>
                  <w:tcW w:w="3820" w:type="dxa"/>
                  <w:tcBorders>
                    <w:top w:val="single" w:sz="4" w:space="0" w:color="000000" w:themeColor="text1"/>
                    <w:left w:val="nil"/>
                    <w:bottom w:val="nil"/>
                    <w:right w:val="nil"/>
                  </w:tcBorders>
                  <w:vAlign w:val="center"/>
                  <w:hideMark/>
                </w:tcPr>
                <w:p w14:paraId="60C2BB6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299D167F" w14:textId="00A3F513" w:rsidR="00EC61E6" w:rsidRPr="00EC61E6" w:rsidRDefault="00EC61E6" w:rsidP="00EC61E6">
                  <w:pPr>
                    <w:spacing w:after="0" w:line="240" w:lineRule="auto"/>
                    <w:rPr>
                      <w:rFonts w:ascii="Calibri" w:eastAsia="Times New Roman" w:hAnsi="Calibri" w:cs="Calibri"/>
                      <w:color w:val="000000"/>
                      <w:sz w:val="16"/>
                      <w:szCs w:val="16"/>
                    </w:rPr>
                  </w:pPr>
                  <w:r w:rsidRPr="320C56A0">
                    <w:rPr>
                      <w:rFonts w:ascii="Calibri" w:eastAsia="Times New Roman" w:hAnsi="Calibri" w:cs="Calibri"/>
                      <w:color w:val="000000" w:themeColor="text1"/>
                      <w:sz w:val="16"/>
                      <w:szCs w:val="16"/>
                    </w:rPr>
                    <w:t>Exposure: no work restrictions</w:t>
                  </w:r>
                  <w:r>
                    <w:br/>
                  </w:r>
                  <w:r w:rsidRPr="320C56A0">
                    <w:rPr>
                      <w:rFonts w:ascii="Calibri" w:eastAsia="Times New Roman" w:hAnsi="Calibri" w:cs="Calibri"/>
                      <w:color w:val="000000" w:themeColor="text1"/>
                      <w:sz w:val="16"/>
                      <w:szCs w:val="16"/>
                    </w:rPr>
                    <w:t xml:space="preserve">Infection: furlough until </w:t>
                  </w:r>
                  <w:r w:rsidR="438F5A77" w:rsidRPr="320C56A0">
                    <w:rPr>
                      <w:rFonts w:ascii="Calibri" w:eastAsia="Times New Roman" w:hAnsi="Calibri" w:cs="Calibri"/>
                      <w:color w:val="000000" w:themeColor="text1"/>
                      <w:sz w:val="16"/>
                      <w:szCs w:val="16"/>
                    </w:rPr>
                    <w:t xml:space="preserve">&gt; 24 hours since starting antibiotics drops, or when symptoms resolve  </w:t>
                  </w:r>
                  <w:r w:rsidRPr="320C56A0">
                    <w:rPr>
                      <w:rFonts w:ascii="Calibri" w:eastAsia="Times New Roman" w:hAnsi="Calibri" w:cs="Calibri"/>
                      <w:color w:val="000000" w:themeColor="text1"/>
                      <w:sz w:val="16"/>
                      <w:szCs w:val="16"/>
                    </w:rPr>
                    <w:t xml:space="preserve"> </w:t>
                  </w:r>
                </w:p>
              </w:tc>
            </w:tr>
            <w:tr w:rsidR="00EC61E6" w:rsidRPr="00EC61E6" w14:paraId="6BF3AE9B"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3E124A6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COVID-19</w:t>
                  </w:r>
                </w:p>
              </w:tc>
              <w:tc>
                <w:tcPr>
                  <w:tcW w:w="3820" w:type="dxa"/>
                  <w:tcBorders>
                    <w:top w:val="single" w:sz="4" w:space="0" w:color="000000" w:themeColor="text1"/>
                    <w:left w:val="nil"/>
                    <w:bottom w:val="nil"/>
                    <w:right w:val="nil"/>
                  </w:tcBorders>
                  <w:vAlign w:val="center"/>
                  <w:hideMark/>
                </w:tcPr>
                <w:p w14:paraId="5EBD1E4B"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18400B0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for 5 days or until afebrile for 24 hours without antipyretics, whichever is longer. Immunocompromised employees should be furloughed for at least 10 days.   </w:t>
                  </w:r>
                </w:p>
              </w:tc>
            </w:tr>
            <w:tr w:rsidR="00EC61E6" w:rsidRPr="00EC61E6" w14:paraId="71FF50BA" w14:textId="77777777" w:rsidTr="0C1DA87D">
              <w:trPr>
                <w:trHeight w:val="2856"/>
              </w:trPr>
              <w:tc>
                <w:tcPr>
                  <w:tcW w:w="1600" w:type="dxa"/>
                  <w:tcBorders>
                    <w:top w:val="single" w:sz="4" w:space="0" w:color="000000" w:themeColor="text1"/>
                    <w:left w:val="single" w:sz="4" w:space="0" w:color="000000" w:themeColor="text1"/>
                    <w:bottom w:val="nil"/>
                    <w:right w:val="nil"/>
                  </w:tcBorders>
                  <w:vAlign w:val="center"/>
                  <w:hideMark/>
                </w:tcPr>
                <w:p w14:paraId="7E7E70C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Diphtheria</w:t>
                  </w:r>
                </w:p>
              </w:tc>
              <w:tc>
                <w:tcPr>
                  <w:tcW w:w="3820" w:type="dxa"/>
                  <w:tcBorders>
                    <w:top w:val="single" w:sz="4" w:space="0" w:color="000000" w:themeColor="text1"/>
                    <w:left w:val="nil"/>
                    <w:bottom w:val="nil"/>
                    <w:right w:val="nil"/>
                  </w:tcBorders>
                  <w:vAlign w:val="center"/>
                  <w:hideMark/>
                </w:tcPr>
                <w:p w14:paraId="53BAA2D2"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Antibiotics (one of the following):</w:t>
                  </w:r>
                  <w:r w:rsidRPr="00EC61E6">
                    <w:rPr>
                      <w:rFonts w:ascii="Calibri" w:eastAsia="Times New Roman" w:hAnsi="Calibri" w:cs="Calibri"/>
                      <w:color w:val="000000"/>
                      <w:sz w:val="16"/>
                      <w:szCs w:val="16"/>
                    </w:rPr>
                    <w:br/>
                    <w:t xml:space="preserve"> - Erythromycin 500 mg QID x 10 days</w:t>
                  </w:r>
                  <w:r w:rsidRPr="00EC61E6">
                    <w:rPr>
                      <w:rFonts w:ascii="Calibri" w:eastAsia="Times New Roman" w:hAnsi="Calibri" w:cs="Calibri"/>
                      <w:color w:val="000000"/>
                      <w:sz w:val="16"/>
                      <w:szCs w:val="16"/>
                    </w:rPr>
                    <w:br/>
                    <w:t xml:space="preserve"> - Single dose of penicillin G benzathine 1.2 million units IM</w:t>
                  </w:r>
                  <w:r w:rsidRPr="00EC61E6">
                    <w:rPr>
                      <w:rFonts w:ascii="Calibri" w:eastAsia="Times New Roman" w:hAnsi="Calibri" w:cs="Calibri"/>
                      <w:color w:val="000000"/>
                      <w:sz w:val="16"/>
                      <w:szCs w:val="16"/>
                    </w:rPr>
                    <w:br/>
                    <w:t xml:space="preserve"> - Azithromycin 500 mg PO on day 1, then 250 mg PO daily on days 2-5 </w:t>
                  </w:r>
                  <w:r w:rsidRPr="00EC61E6">
                    <w:rPr>
                      <w:rFonts w:ascii="Calibri" w:eastAsia="Times New Roman" w:hAnsi="Calibri" w:cs="Calibri"/>
                      <w:color w:val="000000"/>
                      <w:sz w:val="16"/>
                      <w:szCs w:val="16"/>
                    </w:rPr>
                    <w:br/>
                    <w:t xml:space="preserve"> - Sulfamethoxazole/trimethoprim 2 DS tablets PO BID x 14 days       </w:t>
                  </w:r>
                  <w:r w:rsidRPr="00EC61E6">
                    <w:rPr>
                      <w:rFonts w:ascii="Calibri" w:eastAsia="Times New Roman" w:hAnsi="Calibri" w:cs="Calibri"/>
                      <w:color w:val="000000"/>
                      <w:sz w:val="16"/>
                      <w:szCs w:val="16"/>
                    </w:rPr>
                    <w:br/>
                    <w:t xml:space="preserve"> </w:t>
                  </w:r>
                  <w:r w:rsidRPr="00EC61E6">
                    <w:rPr>
                      <w:rFonts w:ascii="Calibri" w:eastAsia="Times New Roman" w:hAnsi="Calibri" w:cs="Calibri"/>
                      <w:color w:val="000000"/>
                      <w:sz w:val="16"/>
                      <w:szCs w:val="16"/>
                    </w:rPr>
                    <w:br/>
                    <w:t>Update diphtheria vaccination:</w:t>
                  </w:r>
                  <w:r w:rsidRPr="00EC61E6">
                    <w:rPr>
                      <w:rFonts w:ascii="Calibri" w:eastAsia="Times New Roman" w:hAnsi="Calibri" w:cs="Calibri"/>
                      <w:color w:val="000000"/>
                      <w:sz w:val="16"/>
                      <w:szCs w:val="16"/>
                    </w:rPr>
                    <w:br/>
                    <w:t xml:space="preserve"> - Those not up to date with Tdap vaccination (≥ 3 doses, last dose &lt; 5 years ago) should receive diphtheria toxoid immunization and complete primary series if not already done</w:t>
                  </w:r>
                </w:p>
              </w:tc>
              <w:tc>
                <w:tcPr>
                  <w:tcW w:w="4660" w:type="dxa"/>
                  <w:tcBorders>
                    <w:top w:val="single" w:sz="4" w:space="0" w:color="000000" w:themeColor="text1"/>
                    <w:left w:val="nil"/>
                    <w:bottom w:val="nil"/>
                    <w:right w:val="single" w:sz="4" w:space="0" w:color="000000" w:themeColor="text1"/>
                  </w:tcBorders>
                  <w:vAlign w:val="center"/>
                  <w:hideMark/>
                </w:tcPr>
                <w:p w14:paraId="3A05223D"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restrictions regardless of vaccination status</w:t>
                  </w:r>
                  <w:r w:rsidRPr="00EC61E6">
                    <w:rPr>
                      <w:rFonts w:ascii="Calibri" w:eastAsia="Times New Roman" w:hAnsi="Calibri" w:cs="Calibri"/>
                      <w:color w:val="000000"/>
                      <w:sz w:val="16"/>
                      <w:szCs w:val="16"/>
                    </w:rPr>
                    <w:br/>
                    <w:t>Infection: furlough until 48 hours after starting antibiotic treatment</w:t>
                  </w:r>
                </w:p>
              </w:tc>
            </w:tr>
            <w:tr w:rsidR="00EC61E6" w:rsidRPr="00EC61E6" w14:paraId="598AD5AA"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6AC8F63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Fever, unexplained </w:t>
                  </w:r>
                </w:p>
              </w:tc>
              <w:tc>
                <w:tcPr>
                  <w:tcW w:w="3820" w:type="dxa"/>
                  <w:tcBorders>
                    <w:top w:val="single" w:sz="4" w:space="0" w:color="000000" w:themeColor="text1"/>
                    <w:left w:val="nil"/>
                    <w:bottom w:val="nil"/>
                    <w:right w:val="nil"/>
                  </w:tcBorders>
                  <w:vAlign w:val="center"/>
                  <w:hideMark/>
                </w:tcPr>
                <w:p w14:paraId="3A9A858E"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55026FE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until &gt; 24 hours afebrile without antipyretics AND symptoms have significantly improved </w:t>
                  </w:r>
                </w:p>
              </w:tc>
            </w:tr>
            <w:tr w:rsidR="00EC61E6" w:rsidRPr="00EC61E6" w14:paraId="32290D19"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3E33CD2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Clostridium difficile</w:t>
                  </w:r>
                </w:p>
              </w:tc>
              <w:tc>
                <w:tcPr>
                  <w:tcW w:w="3820" w:type="dxa"/>
                  <w:tcBorders>
                    <w:top w:val="single" w:sz="4" w:space="0" w:color="000000" w:themeColor="text1"/>
                    <w:left w:val="nil"/>
                    <w:bottom w:val="nil"/>
                    <w:right w:val="nil"/>
                  </w:tcBorders>
                  <w:vAlign w:val="center"/>
                  <w:hideMark/>
                </w:tcPr>
                <w:p w14:paraId="6452F8D5"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5E20FA24"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until &gt; 24 hours since diarrhea or vomiting has ended </w:t>
                  </w:r>
                </w:p>
              </w:tc>
            </w:tr>
            <w:tr w:rsidR="00EC61E6" w:rsidRPr="00EC61E6" w14:paraId="62848379" w14:textId="77777777" w:rsidTr="0C1DA87D">
              <w:trPr>
                <w:trHeight w:val="1224"/>
              </w:trPr>
              <w:tc>
                <w:tcPr>
                  <w:tcW w:w="1600" w:type="dxa"/>
                  <w:tcBorders>
                    <w:top w:val="single" w:sz="4" w:space="0" w:color="000000" w:themeColor="text1"/>
                    <w:left w:val="single" w:sz="4" w:space="0" w:color="000000" w:themeColor="text1"/>
                    <w:bottom w:val="nil"/>
                    <w:right w:val="nil"/>
                  </w:tcBorders>
                  <w:vAlign w:val="center"/>
                  <w:hideMark/>
                </w:tcPr>
                <w:p w14:paraId="6BE83FA3"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lastRenderedPageBreak/>
                    <w:t>Gastrointestinal Infection - General without a specific agent</w:t>
                  </w:r>
                </w:p>
              </w:tc>
              <w:tc>
                <w:tcPr>
                  <w:tcW w:w="3820" w:type="dxa"/>
                  <w:tcBorders>
                    <w:top w:val="single" w:sz="4" w:space="0" w:color="000000" w:themeColor="text1"/>
                    <w:left w:val="nil"/>
                    <w:bottom w:val="nil"/>
                    <w:right w:val="nil"/>
                  </w:tcBorders>
                  <w:vAlign w:val="center"/>
                  <w:hideMark/>
                </w:tcPr>
                <w:p w14:paraId="47DE3BF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33AF2E0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Infection: furlough for at least 24 hours after resolution of vomiting or diarrhea. If they develop jaundice or icterus, they will need clearance from their healthcare provider before returning to work. If jaundiced for more than 7 days, they will need clearance from Infection Prevention.</w:t>
                  </w:r>
                </w:p>
              </w:tc>
            </w:tr>
            <w:tr w:rsidR="00EC61E6" w:rsidRPr="00EC61E6" w14:paraId="2D226E6B" w14:textId="77777777" w:rsidTr="0C1DA87D">
              <w:trPr>
                <w:trHeight w:val="2244"/>
              </w:trPr>
              <w:tc>
                <w:tcPr>
                  <w:tcW w:w="1600" w:type="dxa"/>
                  <w:tcBorders>
                    <w:top w:val="single" w:sz="4" w:space="0" w:color="000000" w:themeColor="text1"/>
                    <w:left w:val="single" w:sz="4" w:space="0" w:color="000000" w:themeColor="text1"/>
                    <w:bottom w:val="nil"/>
                    <w:right w:val="nil"/>
                  </w:tcBorders>
                  <w:vAlign w:val="center"/>
                  <w:hideMark/>
                </w:tcPr>
                <w:p w14:paraId="10B4B21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Hepatitis A (HAV)</w:t>
                  </w:r>
                </w:p>
              </w:tc>
              <w:tc>
                <w:tcPr>
                  <w:tcW w:w="3820" w:type="dxa"/>
                  <w:tcBorders>
                    <w:top w:val="single" w:sz="4" w:space="0" w:color="000000" w:themeColor="text1"/>
                    <w:left w:val="nil"/>
                    <w:bottom w:val="nil"/>
                    <w:right w:val="nil"/>
                  </w:tcBorders>
                  <w:vAlign w:val="center"/>
                  <w:hideMark/>
                </w:tcPr>
                <w:p w14:paraId="7F21F7B8"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PEP is recommended for previously unvaccinated employees if given within 2 weeks of exposure. </w:t>
                  </w:r>
                  <w:r w:rsidRPr="00EC61E6">
                    <w:rPr>
                      <w:rFonts w:ascii="Calibri" w:eastAsia="Times New Roman" w:hAnsi="Calibri" w:cs="Calibri"/>
                      <w:color w:val="000000"/>
                      <w:sz w:val="16"/>
                      <w:szCs w:val="16"/>
                    </w:rPr>
                    <w:br/>
                    <w:t xml:space="preserve"> - Employees 1-40 years of age with normal immune status and no chronic liver disease: 1 dose of Hepatitis A vaccine</w:t>
                  </w:r>
                  <w:r w:rsidRPr="00EC61E6">
                    <w:rPr>
                      <w:rFonts w:ascii="Calibri" w:eastAsia="Times New Roman" w:hAnsi="Calibri" w:cs="Calibri"/>
                      <w:color w:val="000000"/>
                      <w:sz w:val="16"/>
                      <w:szCs w:val="16"/>
                    </w:rPr>
                    <w:br/>
                    <w:t xml:space="preserve"> - Employees &gt; 40 years of age, or those that are immunocompromised or with chronic liver disease: 1 dose of Hepatitis A vaccine and Hepatitis </w:t>
                  </w:r>
                  <w:proofErr w:type="gramStart"/>
                  <w:r w:rsidRPr="00EC61E6">
                    <w:rPr>
                      <w:rFonts w:ascii="Calibri" w:eastAsia="Times New Roman" w:hAnsi="Calibri" w:cs="Calibri"/>
                      <w:color w:val="000000"/>
                      <w:sz w:val="16"/>
                      <w:szCs w:val="16"/>
                    </w:rPr>
                    <w:t>A</w:t>
                  </w:r>
                  <w:proofErr w:type="gramEnd"/>
                  <w:r w:rsidRPr="00EC61E6">
                    <w:rPr>
                      <w:rFonts w:ascii="Calibri" w:eastAsia="Times New Roman" w:hAnsi="Calibri" w:cs="Calibri"/>
                      <w:color w:val="000000"/>
                      <w:sz w:val="16"/>
                      <w:szCs w:val="16"/>
                    </w:rPr>
                    <w:t xml:space="preserve"> Immunoglobulin (IVIG) </w:t>
                  </w:r>
                  <w:proofErr w:type="spellStart"/>
                  <w:r w:rsidRPr="00EC61E6">
                    <w:rPr>
                      <w:rFonts w:ascii="Calibri" w:eastAsia="Times New Roman" w:hAnsi="Calibri" w:cs="Calibri"/>
                      <w:color w:val="000000"/>
                      <w:sz w:val="16"/>
                      <w:szCs w:val="16"/>
                    </w:rPr>
                    <w:t>GamaSTAN</w:t>
                  </w:r>
                  <w:proofErr w:type="spellEnd"/>
                  <w:r w:rsidRPr="00EC61E6">
                    <w:rPr>
                      <w:rFonts w:ascii="Calibri" w:eastAsia="Times New Roman" w:hAnsi="Calibri" w:cs="Calibri"/>
                      <w:color w:val="000000"/>
                      <w:sz w:val="16"/>
                      <w:szCs w:val="16"/>
                    </w:rPr>
                    <w:br/>
                    <w:t xml:space="preserve">For more details, see Gastrointestinal Infection Exposure Protocol. </w:t>
                  </w:r>
                </w:p>
              </w:tc>
              <w:tc>
                <w:tcPr>
                  <w:tcW w:w="4660" w:type="dxa"/>
                  <w:tcBorders>
                    <w:top w:val="single" w:sz="4" w:space="0" w:color="000000" w:themeColor="text1"/>
                    <w:left w:val="nil"/>
                    <w:bottom w:val="nil"/>
                    <w:right w:val="single" w:sz="4" w:space="0" w:color="000000" w:themeColor="text1"/>
                  </w:tcBorders>
                  <w:vAlign w:val="center"/>
                  <w:hideMark/>
                </w:tcPr>
                <w:p w14:paraId="55295158"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Does not need furlough if meets any of the following:</w:t>
                  </w:r>
                  <w:r w:rsidRPr="00EC61E6">
                    <w:rPr>
                      <w:rFonts w:ascii="Calibri" w:eastAsia="Times New Roman" w:hAnsi="Calibri" w:cs="Calibri"/>
                      <w:color w:val="000000"/>
                      <w:sz w:val="16"/>
                      <w:szCs w:val="16"/>
                    </w:rPr>
                    <w:br/>
                    <w:t xml:space="preserve"> - The food employee is immune to HAV because of a prior illness, vaccination, or IgG administration</w:t>
                  </w:r>
                  <w:r w:rsidRPr="00EC61E6">
                    <w:rPr>
                      <w:rFonts w:ascii="Calibri" w:eastAsia="Times New Roman" w:hAnsi="Calibri" w:cs="Calibri"/>
                      <w:color w:val="000000"/>
                      <w:sz w:val="16"/>
                      <w:szCs w:val="16"/>
                    </w:rPr>
                    <w:br/>
                    <w:t xml:space="preserve"> - More than 30 days have passed since the last exposure </w:t>
                  </w:r>
                  <w:r w:rsidRPr="00EC61E6">
                    <w:rPr>
                      <w:rFonts w:ascii="Calibri" w:eastAsia="Times New Roman" w:hAnsi="Calibri" w:cs="Calibri"/>
                      <w:color w:val="000000"/>
                      <w:sz w:val="16"/>
                      <w:szCs w:val="16"/>
                    </w:rPr>
                    <w:br/>
                    <w:t xml:space="preserve"> - Employee does not use bare hands to handle ready-to-eat food or medications</w:t>
                  </w:r>
                  <w:r w:rsidRPr="00EC61E6">
                    <w:rPr>
                      <w:rFonts w:ascii="Calibri" w:eastAsia="Times New Roman" w:hAnsi="Calibri" w:cs="Calibri"/>
                      <w:color w:val="000000"/>
                      <w:sz w:val="16"/>
                      <w:szCs w:val="16"/>
                    </w:rPr>
                    <w:br/>
                    <w:t xml:space="preserve">Infection: furlough until &gt; 14 days since symptoms started or &gt; 7 days since jaundice started. Must obtain approval from Infection Prevention before returning to work. </w:t>
                  </w:r>
                </w:p>
              </w:tc>
            </w:tr>
            <w:tr w:rsidR="00EC61E6" w:rsidRPr="00EC61E6" w14:paraId="1A465D5E"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1CF2C35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Norovirus</w:t>
                  </w:r>
                </w:p>
              </w:tc>
              <w:tc>
                <w:tcPr>
                  <w:tcW w:w="3820" w:type="dxa"/>
                  <w:tcBorders>
                    <w:top w:val="single" w:sz="4" w:space="0" w:color="000000" w:themeColor="text1"/>
                    <w:left w:val="nil"/>
                    <w:bottom w:val="nil"/>
                    <w:right w:val="nil"/>
                  </w:tcBorders>
                  <w:vAlign w:val="center"/>
                  <w:hideMark/>
                </w:tcPr>
                <w:p w14:paraId="283D54A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53E52EE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Exposure: furlough until &gt; 48 hours since last exposure </w:t>
                  </w:r>
                  <w:r w:rsidRPr="00EC61E6">
                    <w:rPr>
                      <w:rFonts w:ascii="Calibri" w:eastAsia="Times New Roman" w:hAnsi="Calibri" w:cs="Calibri"/>
                      <w:color w:val="000000"/>
                      <w:sz w:val="16"/>
                      <w:szCs w:val="16"/>
                    </w:rPr>
                    <w:br/>
                    <w:t>Infection: furlough until &gt; 48 hours since becoming asymptomatic. Must obtain approval from Infection Prevention before returning to work.</w:t>
                  </w:r>
                </w:p>
              </w:tc>
            </w:tr>
            <w:tr w:rsidR="00EC61E6" w:rsidRPr="00EC61E6" w14:paraId="1B489B41"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1878B11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Salmonella (nontyphoidal)</w:t>
                  </w:r>
                </w:p>
              </w:tc>
              <w:tc>
                <w:tcPr>
                  <w:tcW w:w="3820" w:type="dxa"/>
                  <w:tcBorders>
                    <w:top w:val="single" w:sz="4" w:space="0" w:color="000000" w:themeColor="text1"/>
                    <w:left w:val="nil"/>
                    <w:bottom w:val="nil"/>
                    <w:right w:val="nil"/>
                  </w:tcBorders>
                  <w:vAlign w:val="center"/>
                  <w:hideMark/>
                </w:tcPr>
                <w:p w14:paraId="692FC129"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681225F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until 2 consecutive NEGATIVE stool PCR results obtained at least 24 hours apart. Must obtain approval from Infection Prevention before returning to work.   </w:t>
                  </w:r>
                </w:p>
              </w:tc>
            </w:tr>
            <w:tr w:rsidR="00EC61E6" w:rsidRPr="00EC61E6" w14:paraId="56FF803C"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4B78CA81"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Salmonella typhi</w:t>
                  </w:r>
                </w:p>
              </w:tc>
              <w:tc>
                <w:tcPr>
                  <w:tcW w:w="3820" w:type="dxa"/>
                  <w:tcBorders>
                    <w:top w:val="single" w:sz="4" w:space="0" w:color="000000" w:themeColor="text1"/>
                    <w:left w:val="nil"/>
                    <w:bottom w:val="nil"/>
                    <w:right w:val="nil"/>
                  </w:tcBorders>
                  <w:vAlign w:val="center"/>
                  <w:hideMark/>
                </w:tcPr>
                <w:p w14:paraId="73FD920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61D8D8B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Exposure: furlough until &gt; 14 days since last exposure </w:t>
                  </w:r>
                  <w:r w:rsidRPr="00EC61E6">
                    <w:rPr>
                      <w:rFonts w:ascii="Calibri" w:eastAsia="Times New Roman" w:hAnsi="Calibri" w:cs="Calibri"/>
                      <w:color w:val="000000"/>
                      <w:sz w:val="16"/>
                      <w:szCs w:val="16"/>
                    </w:rPr>
                    <w:br/>
                    <w:t xml:space="preserve">Infection: furlough until 2 consecutive NEGATIVE stool PCR results obtained at least 24 hours apart. Must obtain approval from Infection Prevention before returning to work.   </w:t>
                  </w:r>
                </w:p>
              </w:tc>
            </w:tr>
            <w:tr w:rsidR="00EC61E6" w:rsidRPr="00EC61E6" w14:paraId="4A21EC9B"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22E752C5"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Shiga toxin-producing E coli (STEC)</w:t>
                  </w:r>
                </w:p>
              </w:tc>
              <w:tc>
                <w:tcPr>
                  <w:tcW w:w="3820" w:type="dxa"/>
                  <w:tcBorders>
                    <w:top w:val="single" w:sz="4" w:space="0" w:color="000000" w:themeColor="text1"/>
                    <w:left w:val="nil"/>
                    <w:bottom w:val="nil"/>
                    <w:right w:val="nil"/>
                  </w:tcBorders>
                  <w:vAlign w:val="center"/>
                  <w:hideMark/>
                </w:tcPr>
                <w:p w14:paraId="1F5F024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1AE7CFF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Exposure: furlough until &gt; 3 days since last exposure </w:t>
                  </w:r>
                  <w:r w:rsidRPr="00EC61E6">
                    <w:rPr>
                      <w:rFonts w:ascii="Calibri" w:eastAsia="Times New Roman" w:hAnsi="Calibri" w:cs="Calibri"/>
                      <w:color w:val="000000"/>
                      <w:sz w:val="16"/>
                      <w:szCs w:val="16"/>
                    </w:rPr>
                    <w:br/>
                    <w:t xml:space="preserve">Infection: furlough employees until &gt; 7 days since becoming asymptomatic. Must obtain approval from Infection Prevention before returning to work.   </w:t>
                  </w:r>
                </w:p>
              </w:tc>
            </w:tr>
            <w:tr w:rsidR="00EC61E6" w:rsidRPr="00EC61E6" w14:paraId="787AC2C6"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127EC0C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Shigella</w:t>
                  </w:r>
                </w:p>
              </w:tc>
              <w:tc>
                <w:tcPr>
                  <w:tcW w:w="3820" w:type="dxa"/>
                  <w:tcBorders>
                    <w:top w:val="single" w:sz="4" w:space="0" w:color="000000" w:themeColor="text1"/>
                    <w:left w:val="nil"/>
                    <w:bottom w:val="nil"/>
                    <w:right w:val="nil"/>
                  </w:tcBorders>
                  <w:vAlign w:val="center"/>
                  <w:hideMark/>
                </w:tcPr>
                <w:p w14:paraId="23B6CDFE"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37093D2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Exposure: furlough until &gt; 3 days since last exposure </w:t>
                  </w:r>
                  <w:r w:rsidRPr="00EC61E6">
                    <w:rPr>
                      <w:rFonts w:ascii="Calibri" w:eastAsia="Times New Roman" w:hAnsi="Calibri" w:cs="Calibri"/>
                      <w:color w:val="000000"/>
                      <w:sz w:val="16"/>
                      <w:szCs w:val="16"/>
                    </w:rPr>
                    <w:br/>
                    <w:t xml:space="preserve">Infection: furlough employees until &gt; 7 days since becoming asymptomatic. Must obtain approval from Infection Prevention before returning to work.   </w:t>
                  </w:r>
                </w:p>
              </w:tc>
            </w:tr>
            <w:tr w:rsidR="00EC61E6" w:rsidRPr="00EC61E6" w14:paraId="6A925511"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188F1114"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Gastrointestinal Infection - Vibrio cholera</w:t>
                  </w:r>
                </w:p>
              </w:tc>
              <w:tc>
                <w:tcPr>
                  <w:tcW w:w="3820" w:type="dxa"/>
                  <w:tcBorders>
                    <w:top w:val="single" w:sz="4" w:space="0" w:color="000000" w:themeColor="text1"/>
                    <w:left w:val="nil"/>
                    <w:bottom w:val="nil"/>
                    <w:right w:val="nil"/>
                  </w:tcBorders>
                  <w:vAlign w:val="center"/>
                  <w:hideMark/>
                </w:tcPr>
                <w:p w14:paraId="438EFC84"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5F7A1C08"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Infection: furlough until &gt; 24 hours since diarrhea or vomiting has ended</w:t>
                  </w:r>
                </w:p>
              </w:tc>
            </w:tr>
            <w:tr w:rsidR="00EC61E6" w:rsidRPr="00EC61E6" w14:paraId="1F677D1D"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0AD6582D"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Group A Streptococcus </w:t>
                  </w:r>
                </w:p>
              </w:tc>
              <w:tc>
                <w:tcPr>
                  <w:tcW w:w="3820" w:type="dxa"/>
                  <w:tcBorders>
                    <w:top w:val="single" w:sz="4" w:space="0" w:color="000000" w:themeColor="text1"/>
                    <w:left w:val="nil"/>
                    <w:bottom w:val="nil"/>
                    <w:right w:val="nil"/>
                  </w:tcBorders>
                  <w:vAlign w:val="center"/>
                  <w:hideMark/>
                </w:tcPr>
                <w:p w14:paraId="5C017882"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3F78FBF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until received 24 hours of effective treatments and afebrile without antipyretics </w:t>
                  </w:r>
                </w:p>
              </w:tc>
            </w:tr>
            <w:tr w:rsidR="00EC61E6" w:rsidRPr="00EC61E6" w14:paraId="2873EC20" w14:textId="77777777" w:rsidTr="0C1DA87D">
              <w:trPr>
                <w:trHeight w:val="1020"/>
              </w:trPr>
              <w:tc>
                <w:tcPr>
                  <w:tcW w:w="1600" w:type="dxa"/>
                  <w:tcBorders>
                    <w:top w:val="single" w:sz="4" w:space="0" w:color="000000" w:themeColor="text1"/>
                    <w:left w:val="single" w:sz="4" w:space="0" w:color="000000" w:themeColor="text1"/>
                    <w:bottom w:val="nil"/>
                    <w:right w:val="nil"/>
                  </w:tcBorders>
                  <w:vAlign w:val="center"/>
                  <w:hideMark/>
                </w:tcPr>
                <w:p w14:paraId="60378C7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Hand, Foot, Mouth Disease</w:t>
                  </w:r>
                </w:p>
              </w:tc>
              <w:tc>
                <w:tcPr>
                  <w:tcW w:w="3820" w:type="dxa"/>
                  <w:tcBorders>
                    <w:top w:val="single" w:sz="4" w:space="0" w:color="000000" w:themeColor="text1"/>
                    <w:left w:val="nil"/>
                    <w:bottom w:val="nil"/>
                    <w:right w:val="nil"/>
                  </w:tcBorders>
                  <w:vAlign w:val="center"/>
                  <w:hideMark/>
                </w:tcPr>
                <w:p w14:paraId="4E147D48"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03171B03"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furlough</w:t>
                  </w:r>
                  <w:r w:rsidRPr="00EC61E6">
                    <w:rPr>
                      <w:rFonts w:ascii="Calibri" w:eastAsia="Times New Roman" w:hAnsi="Calibri" w:cs="Calibri"/>
                      <w:color w:val="000000"/>
                      <w:sz w:val="16"/>
                      <w:szCs w:val="16"/>
                    </w:rPr>
                    <w:br/>
                    <w:t xml:space="preserve">Infection: no furlough if meets </w:t>
                  </w:r>
                  <w:proofErr w:type="gramStart"/>
                  <w:r w:rsidRPr="00EC61E6">
                    <w:rPr>
                      <w:rFonts w:ascii="Calibri" w:eastAsia="Times New Roman" w:hAnsi="Calibri" w:cs="Calibri"/>
                      <w:color w:val="000000"/>
                      <w:sz w:val="16"/>
                      <w:szCs w:val="16"/>
                    </w:rPr>
                    <w:t>all of</w:t>
                  </w:r>
                  <w:proofErr w:type="gramEnd"/>
                  <w:r w:rsidRPr="00EC61E6">
                    <w:rPr>
                      <w:rFonts w:ascii="Calibri" w:eastAsia="Times New Roman" w:hAnsi="Calibri" w:cs="Calibri"/>
                      <w:color w:val="000000"/>
                      <w:sz w:val="16"/>
                      <w:szCs w:val="16"/>
                    </w:rPr>
                    <w:t xml:space="preserve"> the following: </w:t>
                  </w:r>
                  <w:r w:rsidRPr="00EC61E6">
                    <w:rPr>
                      <w:rFonts w:ascii="Calibri" w:eastAsia="Times New Roman" w:hAnsi="Calibri" w:cs="Calibri"/>
                      <w:color w:val="000000"/>
                      <w:sz w:val="16"/>
                      <w:szCs w:val="16"/>
                    </w:rPr>
                    <w:br/>
                    <w:t xml:space="preserve">  1. Have no fever</w:t>
                  </w:r>
                  <w:r w:rsidRPr="00EC61E6">
                    <w:rPr>
                      <w:rFonts w:ascii="Calibri" w:eastAsia="Times New Roman" w:hAnsi="Calibri" w:cs="Calibri"/>
                      <w:color w:val="000000"/>
                      <w:sz w:val="16"/>
                      <w:szCs w:val="16"/>
                    </w:rPr>
                    <w:br/>
                    <w:t xml:space="preserve">  2. Have no mouth sores</w:t>
                  </w:r>
                  <w:r w:rsidRPr="00EC61E6">
                    <w:rPr>
                      <w:rFonts w:ascii="Calibri" w:eastAsia="Times New Roman" w:hAnsi="Calibri" w:cs="Calibri"/>
                      <w:color w:val="000000"/>
                      <w:sz w:val="16"/>
                      <w:szCs w:val="16"/>
                    </w:rPr>
                    <w:br/>
                    <w:t xml:space="preserve">  3. Feel well enough to work </w:t>
                  </w:r>
                </w:p>
              </w:tc>
            </w:tr>
            <w:tr w:rsidR="00EC61E6" w:rsidRPr="00EC61E6" w14:paraId="5CB43405"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02365DA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Hepatitis B Virus (HBV)</w:t>
                  </w:r>
                </w:p>
              </w:tc>
              <w:tc>
                <w:tcPr>
                  <w:tcW w:w="3820" w:type="dxa"/>
                  <w:tcBorders>
                    <w:top w:val="single" w:sz="4" w:space="0" w:color="000000" w:themeColor="text1"/>
                    <w:left w:val="nil"/>
                    <w:bottom w:val="nil"/>
                    <w:right w:val="nil"/>
                  </w:tcBorders>
                  <w:vAlign w:val="center"/>
                  <w:hideMark/>
                </w:tcPr>
                <w:p w14:paraId="7AB3617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Non-immune employees should receive both of the following: </w:t>
                  </w:r>
                  <w:r w:rsidRPr="00EC61E6">
                    <w:rPr>
                      <w:rFonts w:ascii="Calibri" w:eastAsia="Times New Roman" w:hAnsi="Calibri" w:cs="Calibri"/>
                      <w:color w:val="000000"/>
                      <w:sz w:val="16"/>
                      <w:szCs w:val="16"/>
                    </w:rPr>
                    <w:br/>
                    <w:t xml:space="preserve"> - Hepatitis B IVIG</w:t>
                  </w:r>
                  <w:r w:rsidRPr="00EC61E6">
                    <w:rPr>
                      <w:rFonts w:ascii="Calibri" w:eastAsia="Times New Roman" w:hAnsi="Calibri" w:cs="Calibri"/>
                      <w:color w:val="000000"/>
                      <w:sz w:val="16"/>
                      <w:szCs w:val="16"/>
                    </w:rPr>
                    <w:br/>
                    <w:t xml:space="preserve"> - Hepatitis B vaccine</w:t>
                  </w:r>
                </w:p>
              </w:tc>
              <w:tc>
                <w:tcPr>
                  <w:tcW w:w="4660" w:type="dxa"/>
                  <w:tcBorders>
                    <w:top w:val="single" w:sz="4" w:space="0" w:color="000000" w:themeColor="text1"/>
                    <w:left w:val="nil"/>
                    <w:bottom w:val="nil"/>
                    <w:right w:val="single" w:sz="4" w:space="0" w:color="000000" w:themeColor="text1"/>
                  </w:tcBorders>
                  <w:vAlign w:val="center"/>
                  <w:hideMark/>
                </w:tcPr>
                <w:p w14:paraId="4EB04E2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no work restrictions for most. Employees performing exposure-prone invasive procedures need consultation with the Occupational Health Medical Director before returning to full duty. </w:t>
                  </w:r>
                </w:p>
              </w:tc>
            </w:tr>
            <w:tr w:rsidR="00EC61E6" w:rsidRPr="00EC61E6" w14:paraId="339F27CA"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083C8095"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Hepatitis C Virus (HCV)</w:t>
                  </w:r>
                </w:p>
              </w:tc>
              <w:tc>
                <w:tcPr>
                  <w:tcW w:w="3820" w:type="dxa"/>
                  <w:tcBorders>
                    <w:top w:val="single" w:sz="4" w:space="0" w:color="000000" w:themeColor="text1"/>
                    <w:left w:val="nil"/>
                    <w:bottom w:val="nil"/>
                    <w:right w:val="nil"/>
                  </w:tcBorders>
                  <w:vAlign w:val="center"/>
                  <w:hideMark/>
                </w:tcPr>
                <w:p w14:paraId="141D82A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4B2A5F84"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no work restrictions for most. Employees performing exposure-prone invasive procedures need consultation with the Occupational Health Medical Director before returning to full duty. </w:t>
                  </w:r>
                </w:p>
              </w:tc>
            </w:tr>
            <w:tr w:rsidR="00EC61E6" w:rsidRPr="00EC61E6" w14:paraId="5D138C0F" w14:textId="77777777" w:rsidTr="0C1DA87D">
              <w:trPr>
                <w:trHeight w:val="2040"/>
              </w:trPr>
              <w:tc>
                <w:tcPr>
                  <w:tcW w:w="1600" w:type="dxa"/>
                  <w:tcBorders>
                    <w:top w:val="single" w:sz="4" w:space="0" w:color="000000" w:themeColor="text1"/>
                    <w:left w:val="single" w:sz="4" w:space="0" w:color="000000" w:themeColor="text1"/>
                    <w:bottom w:val="nil"/>
                    <w:right w:val="nil"/>
                  </w:tcBorders>
                  <w:vAlign w:val="center"/>
                  <w:hideMark/>
                </w:tcPr>
                <w:p w14:paraId="7BC64C3E"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lastRenderedPageBreak/>
                    <w:t>Herpes</w:t>
                  </w:r>
                </w:p>
              </w:tc>
              <w:tc>
                <w:tcPr>
                  <w:tcW w:w="3820" w:type="dxa"/>
                  <w:tcBorders>
                    <w:top w:val="single" w:sz="4" w:space="0" w:color="000000" w:themeColor="text1"/>
                    <w:left w:val="nil"/>
                    <w:bottom w:val="nil"/>
                    <w:right w:val="nil"/>
                  </w:tcBorders>
                  <w:vAlign w:val="center"/>
                  <w:hideMark/>
                </w:tcPr>
                <w:p w14:paraId="0167DAE4"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For non-intact skin exposure or needle stick injury:</w:t>
                  </w:r>
                  <w:r w:rsidRPr="00EC61E6">
                    <w:rPr>
                      <w:rFonts w:ascii="Calibri" w:eastAsia="Times New Roman" w:hAnsi="Calibri" w:cs="Calibri"/>
                      <w:color w:val="000000"/>
                      <w:sz w:val="16"/>
                      <w:szCs w:val="16"/>
                    </w:rPr>
                    <w:br/>
                    <w:t xml:space="preserve"> - Normal renal function: Valacyclovir 1g PO q12hr for 10 days</w:t>
                  </w:r>
                  <w:r w:rsidRPr="00EC61E6">
                    <w:rPr>
                      <w:rFonts w:ascii="Calibri" w:eastAsia="Times New Roman" w:hAnsi="Calibri" w:cs="Calibri"/>
                      <w:color w:val="000000"/>
                      <w:sz w:val="16"/>
                      <w:szCs w:val="16"/>
                    </w:rPr>
                    <w:br/>
                    <w:t xml:space="preserve"> - </w:t>
                  </w:r>
                  <w:proofErr w:type="spellStart"/>
                  <w:r w:rsidRPr="00EC61E6">
                    <w:rPr>
                      <w:rFonts w:ascii="Calibri" w:eastAsia="Times New Roman" w:hAnsi="Calibri" w:cs="Calibri"/>
                      <w:color w:val="000000"/>
                      <w:sz w:val="16"/>
                      <w:szCs w:val="16"/>
                    </w:rPr>
                    <w:t>CrCl</w:t>
                  </w:r>
                  <w:proofErr w:type="spellEnd"/>
                  <w:r w:rsidRPr="00EC61E6">
                    <w:rPr>
                      <w:rFonts w:ascii="Calibri" w:eastAsia="Times New Roman" w:hAnsi="Calibri" w:cs="Calibri"/>
                      <w:color w:val="000000"/>
                      <w:sz w:val="16"/>
                      <w:szCs w:val="16"/>
                    </w:rPr>
                    <w:t xml:space="preserve"> 10-29 mL/min: Valacyclovir 1g PO daily for 10 days</w:t>
                  </w:r>
                  <w:r w:rsidRPr="00EC61E6">
                    <w:rPr>
                      <w:rFonts w:ascii="Calibri" w:eastAsia="Times New Roman" w:hAnsi="Calibri" w:cs="Calibri"/>
                      <w:color w:val="000000"/>
                      <w:sz w:val="16"/>
                      <w:szCs w:val="16"/>
                    </w:rPr>
                    <w:br/>
                    <w:t xml:space="preserve"> - </w:t>
                  </w:r>
                  <w:proofErr w:type="spellStart"/>
                  <w:r w:rsidRPr="00EC61E6">
                    <w:rPr>
                      <w:rFonts w:ascii="Calibri" w:eastAsia="Times New Roman" w:hAnsi="Calibri" w:cs="Calibri"/>
                      <w:color w:val="000000"/>
                      <w:sz w:val="16"/>
                      <w:szCs w:val="16"/>
                    </w:rPr>
                    <w:t>CrCl</w:t>
                  </w:r>
                  <w:proofErr w:type="spellEnd"/>
                  <w:r w:rsidRPr="00EC61E6">
                    <w:rPr>
                      <w:rFonts w:ascii="Calibri" w:eastAsia="Times New Roman" w:hAnsi="Calibri" w:cs="Calibri"/>
                      <w:color w:val="000000"/>
                      <w:sz w:val="16"/>
                      <w:szCs w:val="16"/>
                    </w:rPr>
                    <w:t xml:space="preserve"> &lt; 10 mL/min: Valacyclovir 500 mg PO daily for 10 days</w:t>
                  </w:r>
                  <w:r w:rsidRPr="00EC61E6">
                    <w:rPr>
                      <w:rFonts w:ascii="Calibri" w:eastAsia="Times New Roman" w:hAnsi="Calibri" w:cs="Calibri"/>
                      <w:color w:val="000000"/>
                      <w:sz w:val="16"/>
                      <w:szCs w:val="16"/>
                    </w:rPr>
                    <w:br/>
                    <w:t xml:space="preserve"> </w:t>
                  </w:r>
                  <w:r w:rsidRPr="00EC61E6">
                    <w:rPr>
                      <w:rFonts w:ascii="Calibri" w:eastAsia="Times New Roman" w:hAnsi="Calibri" w:cs="Calibri"/>
                      <w:color w:val="000000"/>
                      <w:sz w:val="16"/>
                      <w:szCs w:val="16"/>
                    </w:rPr>
                    <w:br/>
                    <w:t xml:space="preserve">Add topical ganciclovir 0.15% ophthalmic gel five times per day for 10 days for eye exposures. </w:t>
                  </w:r>
                </w:p>
              </w:tc>
              <w:tc>
                <w:tcPr>
                  <w:tcW w:w="4660" w:type="dxa"/>
                  <w:tcBorders>
                    <w:top w:val="single" w:sz="4" w:space="0" w:color="000000" w:themeColor="text1"/>
                    <w:left w:val="nil"/>
                    <w:bottom w:val="nil"/>
                    <w:right w:val="single" w:sz="4" w:space="0" w:color="000000" w:themeColor="text1"/>
                  </w:tcBorders>
                  <w:vAlign w:val="center"/>
                  <w:hideMark/>
                </w:tcPr>
                <w:p w14:paraId="084513C1"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After exposure: no work restrictions</w:t>
                  </w:r>
                  <w:r w:rsidRPr="00EC61E6">
                    <w:rPr>
                      <w:rFonts w:ascii="Calibri" w:eastAsia="Times New Roman" w:hAnsi="Calibri" w:cs="Calibri"/>
                      <w:color w:val="000000"/>
                      <w:sz w:val="16"/>
                      <w:szCs w:val="16"/>
                    </w:rPr>
                    <w:br/>
                    <w:t>After infection: cover up lesions to prevent direct contact with a patient</w:t>
                  </w:r>
                </w:p>
              </w:tc>
            </w:tr>
            <w:tr w:rsidR="00EC61E6" w:rsidRPr="00EC61E6" w14:paraId="140EA6FC" w14:textId="77777777" w:rsidTr="0C1DA87D">
              <w:trPr>
                <w:trHeight w:val="816"/>
              </w:trPr>
              <w:tc>
                <w:tcPr>
                  <w:tcW w:w="1600" w:type="dxa"/>
                  <w:tcBorders>
                    <w:top w:val="single" w:sz="4" w:space="0" w:color="000000" w:themeColor="text1"/>
                    <w:left w:val="single" w:sz="4" w:space="0" w:color="000000" w:themeColor="text1"/>
                    <w:bottom w:val="nil"/>
                    <w:right w:val="nil"/>
                  </w:tcBorders>
                  <w:vAlign w:val="center"/>
                  <w:hideMark/>
                </w:tcPr>
                <w:p w14:paraId="51F1029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HIV</w:t>
                  </w:r>
                </w:p>
              </w:tc>
              <w:tc>
                <w:tcPr>
                  <w:tcW w:w="3820" w:type="dxa"/>
                  <w:tcBorders>
                    <w:top w:val="single" w:sz="4" w:space="0" w:color="000000" w:themeColor="text1"/>
                    <w:left w:val="nil"/>
                    <w:bottom w:val="nil"/>
                    <w:right w:val="nil"/>
                  </w:tcBorders>
                  <w:vAlign w:val="center"/>
                  <w:hideMark/>
                </w:tcPr>
                <w:p w14:paraId="25FD22A4"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PEP should be started within 72 hours of exposure:</w:t>
                  </w:r>
                  <w:r w:rsidRPr="00EC61E6">
                    <w:rPr>
                      <w:rFonts w:ascii="Calibri" w:eastAsia="Times New Roman" w:hAnsi="Calibri" w:cs="Calibri"/>
                      <w:color w:val="000000"/>
                      <w:sz w:val="16"/>
                      <w:szCs w:val="16"/>
                    </w:rPr>
                    <w:br/>
                    <w:t xml:space="preserve">  - Truvada 200mg/300mg: 1 tab by mouth daily for 28 days</w:t>
                  </w:r>
                  <w:r w:rsidRPr="00EC61E6">
                    <w:rPr>
                      <w:rFonts w:ascii="Calibri" w:eastAsia="Times New Roman" w:hAnsi="Calibri" w:cs="Calibri"/>
                      <w:color w:val="000000"/>
                      <w:sz w:val="16"/>
                      <w:szCs w:val="16"/>
                    </w:rPr>
                    <w:br/>
                    <w:t xml:space="preserve">  - </w:t>
                  </w:r>
                  <w:proofErr w:type="spellStart"/>
                  <w:r w:rsidRPr="00EC61E6">
                    <w:rPr>
                      <w:rFonts w:ascii="Calibri" w:eastAsia="Times New Roman" w:hAnsi="Calibri" w:cs="Calibri"/>
                      <w:color w:val="000000"/>
                      <w:sz w:val="16"/>
                      <w:szCs w:val="16"/>
                    </w:rPr>
                    <w:t>Tivicay</w:t>
                  </w:r>
                  <w:proofErr w:type="spellEnd"/>
                  <w:r w:rsidRPr="00EC61E6">
                    <w:rPr>
                      <w:rFonts w:ascii="Calibri" w:eastAsia="Times New Roman" w:hAnsi="Calibri" w:cs="Calibri"/>
                      <w:color w:val="000000"/>
                      <w:sz w:val="16"/>
                      <w:szCs w:val="16"/>
                    </w:rPr>
                    <w:t xml:space="preserve"> 50: 1 tab by daily for 28 days   </w:t>
                  </w:r>
                </w:p>
              </w:tc>
              <w:tc>
                <w:tcPr>
                  <w:tcW w:w="4660" w:type="dxa"/>
                  <w:tcBorders>
                    <w:top w:val="single" w:sz="4" w:space="0" w:color="000000" w:themeColor="text1"/>
                    <w:left w:val="nil"/>
                    <w:bottom w:val="nil"/>
                    <w:right w:val="single" w:sz="4" w:space="0" w:color="000000" w:themeColor="text1"/>
                  </w:tcBorders>
                  <w:vAlign w:val="center"/>
                  <w:hideMark/>
                </w:tcPr>
                <w:p w14:paraId="7B26A18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no work restrictions for most. Employees performing exposure-prone invasive procedures need consultation with the Occupational Health Medical Director before returning to full duty. </w:t>
                  </w:r>
                </w:p>
              </w:tc>
            </w:tr>
            <w:tr w:rsidR="00EC61E6" w:rsidRPr="00EC61E6" w14:paraId="764EE867" w14:textId="77777777" w:rsidTr="0C1DA87D">
              <w:trPr>
                <w:trHeight w:val="1224"/>
              </w:trPr>
              <w:tc>
                <w:tcPr>
                  <w:tcW w:w="1600" w:type="dxa"/>
                  <w:tcBorders>
                    <w:top w:val="single" w:sz="4" w:space="0" w:color="000000" w:themeColor="text1"/>
                    <w:left w:val="single" w:sz="4" w:space="0" w:color="000000" w:themeColor="text1"/>
                    <w:bottom w:val="nil"/>
                    <w:right w:val="nil"/>
                  </w:tcBorders>
                  <w:vAlign w:val="center"/>
                  <w:hideMark/>
                </w:tcPr>
                <w:p w14:paraId="1128D23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Influenza</w:t>
                  </w:r>
                </w:p>
              </w:tc>
              <w:tc>
                <w:tcPr>
                  <w:tcW w:w="3820" w:type="dxa"/>
                  <w:tcBorders>
                    <w:top w:val="single" w:sz="4" w:space="0" w:color="000000" w:themeColor="text1"/>
                    <w:left w:val="nil"/>
                    <w:bottom w:val="nil"/>
                    <w:right w:val="nil"/>
                  </w:tcBorders>
                  <w:vAlign w:val="center"/>
                  <w:hideMark/>
                </w:tcPr>
                <w:p w14:paraId="6615321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PEP is not recommended in most individuals</w:t>
                  </w:r>
                </w:p>
              </w:tc>
              <w:tc>
                <w:tcPr>
                  <w:tcW w:w="4660" w:type="dxa"/>
                  <w:tcBorders>
                    <w:top w:val="single" w:sz="4" w:space="0" w:color="000000" w:themeColor="text1"/>
                    <w:left w:val="nil"/>
                    <w:bottom w:val="nil"/>
                    <w:right w:val="single" w:sz="4" w:space="0" w:color="000000" w:themeColor="text1"/>
                  </w:tcBorders>
                  <w:vAlign w:val="center"/>
                  <w:hideMark/>
                </w:tcPr>
                <w:p w14:paraId="562F795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for at least 5 days AND until &gt; 24 hours afebrile without antipyretics AND symptoms have significantly improved. Employees working with </w:t>
                  </w:r>
                  <w:proofErr w:type="gramStart"/>
                  <w:r w:rsidRPr="00EC61E6">
                    <w:rPr>
                      <w:rFonts w:ascii="Calibri" w:eastAsia="Times New Roman" w:hAnsi="Calibri" w:cs="Calibri"/>
                      <w:color w:val="000000"/>
                      <w:sz w:val="16"/>
                      <w:szCs w:val="16"/>
                    </w:rPr>
                    <w:t>immunocompromised</w:t>
                  </w:r>
                  <w:proofErr w:type="gramEnd"/>
                  <w:r w:rsidRPr="00EC61E6">
                    <w:rPr>
                      <w:rFonts w:ascii="Calibri" w:eastAsia="Times New Roman" w:hAnsi="Calibri" w:cs="Calibri"/>
                      <w:color w:val="000000"/>
                      <w:sz w:val="16"/>
                      <w:szCs w:val="16"/>
                    </w:rPr>
                    <w:t xml:space="preserve"> patients may need to be reassigned for 7 days from symptom onset or until the resolution of symptoms, whichever is longer.</w:t>
                  </w:r>
                </w:p>
              </w:tc>
            </w:tr>
            <w:tr w:rsidR="00EC61E6" w:rsidRPr="00EC61E6" w14:paraId="59227D41"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4C36A38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Lice</w:t>
                  </w:r>
                </w:p>
              </w:tc>
              <w:tc>
                <w:tcPr>
                  <w:tcW w:w="3820" w:type="dxa"/>
                  <w:tcBorders>
                    <w:top w:val="single" w:sz="4" w:space="0" w:color="000000" w:themeColor="text1"/>
                    <w:left w:val="nil"/>
                    <w:bottom w:val="nil"/>
                    <w:right w:val="nil"/>
                  </w:tcBorders>
                  <w:vAlign w:val="center"/>
                  <w:hideMark/>
                </w:tcPr>
                <w:p w14:paraId="672CC32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3B4820E3"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until completion of effective treatment and resolution of symptoms  </w:t>
                  </w:r>
                </w:p>
              </w:tc>
            </w:tr>
            <w:tr w:rsidR="00EC61E6" w:rsidRPr="00EC61E6" w14:paraId="2A430737" w14:textId="77777777" w:rsidTr="0C1DA87D">
              <w:trPr>
                <w:trHeight w:val="1224"/>
              </w:trPr>
              <w:tc>
                <w:tcPr>
                  <w:tcW w:w="1600" w:type="dxa"/>
                  <w:tcBorders>
                    <w:top w:val="single" w:sz="4" w:space="0" w:color="000000" w:themeColor="text1"/>
                    <w:left w:val="single" w:sz="4" w:space="0" w:color="000000" w:themeColor="text1"/>
                    <w:bottom w:val="nil"/>
                    <w:right w:val="nil"/>
                  </w:tcBorders>
                  <w:vAlign w:val="center"/>
                  <w:hideMark/>
                </w:tcPr>
                <w:p w14:paraId="1B2C09D2"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Measles</w:t>
                  </w:r>
                </w:p>
              </w:tc>
              <w:tc>
                <w:tcPr>
                  <w:tcW w:w="3820" w:type="dxa"/>
                  <w:tcBorders>
                    <w:top w:val="single" w:sz="4" w:space="0" w:color="000000" w:themeColor="text1"/>
                    <w:left w:val="nil"/>
                    <w:bottom w:val="nil"/>
                    <w:right w:val="nil"/>
                  </w:tcBorders>
                  <w:vAlign w:val="center"/>
                  <w:hideMark/>
                </w:tcPr>
                <w:p w14:paraId="038183A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Non-immune employees should receive one of the following:</w:t>
                  </w:r>
                  <w:r w:rsidRPr="00EC61E6">
                    <w:rPr>
                      <w:rFonts w:ascii="Calibri" w:eastAsia="Times New Roman" w:hAnsi="Calibri" w:cs="Calibri"/>
                      <w:color w:val="000000"/>
                      <w:sz w:val="16"/>
                      <w:szCs w:val="16"/>
                    </w:rPr>
                    <w:br/>
                    <w:t xml:space="preserve"> - Receive the first dose of the MMR vaccine (preferably within 72 hours)</w:t>
                  </w:r>
                  <w:r w:rsidRPr="00EC61E6">
                    <w:rPr>
                      <w:rFonts w:ascii="Calibri" w:eastAsia="Times New Roman" w:hAnsi="Calibri" w:cs="Calibri"/>
                      <w:color w:val="000000"/>
                      <w:sz w:val="16"/>
                      <w:szCs w:val="16"/>
                    </w:rPr>
                    <w:br/>
                    <w:t xml:space="preserve"> - Immunocompromised should receive intramuscular immune globulin of 0.25 mL/kg (40 mg IgG/ </w:t>
                  </w:r>
                  <w:proofErr w:type="gramStart"/>
                  <w:r w:rsidRPr="00EC61E6">
                    <w:rPr>
                      <w:rFonts w:ascii="Calibri" w:eastAsia="Times New Roman" w:hAnsi="Calibri" w:cs="Calibri"/>
                      <w:color w:val="000000"/>
                      <w:sz w:val="16"/>
                      <w:szCs w:val="16"/>
                    </w:rPr>
                    <w:t xml:space="preserve">kg)   </w:t>
                  </w:r>
                  <w:proofErr w:type="gramEnd"/>
                </w:p>
              </w:tc>
              <w:tc>
                <w:tcPr>
                  <w:tcW w:w="4660" w:type="dxa"/>
                  <w:tcBorders>
                    <w:top w:val="single" w:sz="4" w:space="0" w:color="000000" w:themeColor="text1"/>
                    <w:left w:val="nil"/>
                    <w:bottom w:val="nil"/>
                    <w:right w:val="single" w:sz="4" w:space="0" w:color="000000" w:themeColor="text1"/>
                  </w:tcBorders>
                  <w:vAlign w:val="center"/>
                  <w:hideMark/>
                </w:tcPr>
                <w:p w14:paraId="1AA4404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if immune, there is no need for furlough. If not immune, furlough until 21 days after exposure. Those with documented 1 dose of vaccine may remain at work and should receive the 2nd dose.</w:t>
                  </w:r>
                  <w:r w:rsidRPr="00EC61E6">
                    <w:rPr>
                      <w:rFonts w:ascii="Calibri" w:eastAsia="Times New Roman" w:hAnsi="Calibri" w:cs="Calibri"/>
                      <w:color w:val="000000"/>
                      <w:sz w:val="16"/>
                      <w:szCs w:val="16"/>
                    </w:rPr>
                    <w:br/>
                    <w:t xml:space="preserve">Infection: furlough until &gt; 4 days following onset of rash   </w:t>
                  </w:r>
                </w:p>
              </w:tc>
            </w:tr>
            <w:tr w:rsidR="00EC61E6" w:rsidRPr="00EC61E6" w14:paraId="1D577276" w14:textId="77777777" w:rsidTr="0C1DA87D">
              <w:trPr>
                <w:trHeight w:val="2856"/>
              </w:trPr>
              <w:tc>
                <w:tcPr>
                  <w:tcW w:w="1600" w:type="dxa"/>
                  <w:tcBorders>
                    <w:top w:val="single" w:sz="4" w:space="0" w:color="000000" w:themeColor="text1"/>
                    <w:left w:val="single" w:sz="4" w:space="0" w:color="000000" w:themeColor="text1"/>
                    <w:bottom w:val="nil"/>
                    <w:right w:val="nil"/>
                  </w:tcBorders>
                  <w:vAlign w:val="center"/>
                  <w:hideMark/>
                </w:tcPr>
                <w:p w14:paraId="6878828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Meningococcus </w:t>
                  </w:r>
                </w:p>
              </w:tc>
              <w:tc>
                <w:tcPr>
                  <w:tcW w:w="3820" w:type="dxa"/>
                  <w:tcBorders>
                    <w:top w:val="single" w:sz="4" w:space="0" w:color="000000" w:themeColor="text1"/>
                    <w:left w:val="nil"/>
                    <w:bottom w:val="nil"/>
                    <w:right w:val="nil"/>
                  </w:tcBorders>
                  <w:vAlign w:val="center"/>
                  <w:hideMark/>
                </w:tcPr>
                <w:p w14:paraId="72343BB3"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Antibiotics (one of the following - see exposure protocol for additional information):</w:t>
                  </w:r>
                  <w:r w:rsidRPr="00EC61E6">
                    <w:rPr>
                      <w:rFonts w:ascii="Calibri" w:eastAsia="Times New Roman" w:hAnsi="Calibri" w:cs="Calibri"/>
                      <w:color w:val="000000"/>
                      <w:sz w:val="16"/>
                      <w:szCs w:val="16"/>
                    </w:rPr>
                    <w:br/>
                    <w:t xml:space="preserve"> - Ciprofloxacin 500 mg PO x 1 dose (preferred for most)</w:t>
                  </w:r>
                  <w:r w:rsidRPr="00EC61E6">
                    <w:rPr>
                      <w:rFonts w:ascii="Calibri" w:eastAsia="Times New Roman" w:hAnsi="Calibri" w:cs="Calibri"/>
                      <w:color w:val="000000"/>
                      <w:sz w:val="16"/>
                      <w:szCs w:val="16"/>
                    </w:rPr>
                    <w:br/>
                    <w:t xml:space="preserve"> - Rifampin 600 mg q12h PO x 2 days (4 doses)</w:t>
                  </w:r>
                  <w:r w:rsidRPr="00EC61E6">
                    <w:rPr>
                      <w:rFonts w:ascii="Calibri" w:eastAsia="Times New Roman" w:hAnsi="Calibri" w:cs="Calibri"/>
                      <w:color w:val="000000"/>
                      <w:sz w:val="16"/>
                      <w:szCs w:val="16"/>
                    </w:rPr>
                    <w:br/>
                    <w:t xml:space="preserve"> - Azithromycin 500 mg PO single dose</w:t>
                  </w:r>
                  <w:r w:rsidRPr="00EC61E6">
                    <w:rPr>
                      <w:rFonts w:ascii="Calibri" w:eastAsia="Times New Roman" w:hAnsi="Calibri" w:cs="Calibri"/>
                      <w:color w:val="000000"/>
                      <w:sz w:val="16"/>
                      <w:szCs w:val="16"/>
                    </w:rPr>
                    <w:br/>
                    <w:t xml:space="preserve"> - Ceftriaxone 250 mg IM x 1 dose (preferred in pregnancy)</w:t>
                  </w:r>
                  <w:r w:rsidRPr="00EC61E6">
                    <w:rPr>
                      <w:rFonts w:ascii="Calibri" w:eastAsia="Times New Roman" w:hAnsi="Calibri" w:cs="Calibri"/>
                      <w:color w:val="000000"/>
                      <w:sz w:val="16"/>
                      <w:szCs w:val="16"/>
                    </w:rPr>
                    <w:br/>
                    <w:t xml:space="preserve"> </w:t>
                  </w:r>
                  <w:r w:rsidRPr="00EC61E6">
                    <w:rPr>
                      <w:rFonts w:ascii="Calibri" w:eastAsia="Times New Roman" w:hAnsi="Calibri" w:cs="Calibri"/>
                      <w:color w:val="000000"/>
                      <w:sz w:val="16"/>
                      <w:szCs w:val="16"/>
                    </w:rPr>
                    <w:br/>
                    <w:t>Update meningococcal vaccination:</w:t>
                  </w:r>
                  <w:r w:rsidRPr="00EC61E6">
                    <w:rPr>
                      <w:rFonts w:ascii="Calibri" w:eastAsia="Times New Roman" w:hAnsi="Calibri" w:cs="Calibri"/>
                      <w:color w:val="000000"/>
                      <w:sz w:val="16"/>
                      <w:szCs w:val="16"/>
                    </w:rPr>
                    <w:br/>
                    <w:t xml:space="preserve"> - For those without primary meningococcal vaccination series (</w:t>
                  </w:r>
                  <w:proofErr w:type="spellStart"/>
                  <w:r w:rsidRPr="00EC61E6">
                    <w:rPr>
                      <w:rFonts w:ascii="Calibri" w:eastAsia="Times New Roman" w:hAnsi="Calibri" w:cs="Calibri"/>
                      <w:color w:val="000000"/>
                      <w:sz w:val="16"/>
                      <w:szCs w:val="16"/>
                    </w:rPr>
                    <w:t>MenACWY</w:t>
                  </w:r>
                  <w:proofErr w:type="spellEnd"/>
                  <w:r w:rsidRPr="00EC61E6">
                    <w:rPr>
                      <w:rFonts w:ascii="Calibri" w:eastAsia="Times New Roman" w:hAnsi="Calibri" w:cs="Calibri"/>
                      <w:color w:val="000000"/>
                      <w:sz w:val="16"/>
                      <w:szCs w:val="16"/>
                    </w:rPr>
                    <w:t xml:space="preserve"> vaccine, 2 doses given ≥ 8 weeks apart) or those who received the last dose of </w:t>
                  </w:r>
                  <w:proofErr w:type="spellStart"/>
                  <w:r w:rsidRPr="00EC61E6">
                    <w:rPr>
                      <w:rFonts w:ascii="Calibri" w:eastAsia="Times New Roman" w:hAnsi="Calibri" w:cs="Calibri"/>
                      <w:color w:val="000000"/>
                      <w:sz w:val="16"/>
                      <w:szCs w:val="16"/>
                    </w:rPr>
                    <w:t>MenACWY</w:t>
                  </w:r>
                  <w:proofErr w:type="spellEnd"/>
                  <w:r w:rsidRPr="00EC61E6">
                    <w:rPr>
                      <w:rFonts w:ascii="Calibri" w:eastAsia="Times New Roman" w:hAnsi="Calibri" w:cs="Calibri"/>
                      <w:color w:val="000000"/>
                      <w:sz w:val="16"/>
                      <w:szCs w:val="16"/>
                    </w:rPr>
                    <w:t xml:space="preserve"> &gt; 5 years ago, give the </w:t>
                  </w:r>
                  <w:proofErr w:type="spellStart"/>
                  <w:r w:rsidRPr="00EC61E6">
                    <w:rPr>
                      <w:rFonts w:ascii="Calibri" w:eastAsia="Times New Roman" w:hAnsi="Calibri" w:cs="Calibri"/>
                      <w:color w:val="000000"/>
                      <w:sz w:val="16"/>
                      <w:szCs w:val="16"/>
                    </w:rPr>
                    <w:t>MenACWY</w:t>
                  </w:r>
                  <w:proofErr w:type="spellEnd"/>
                  <w:r w:rsidRPr="00EC61E6">
                    <w:rPr>
                      <w:rFonts w:ascii="Calibri" w:eastAsia="Times New Roman" w:hAnsi="Calibri" w:cs="Calibri"/>
                      <w:color w:val="000000"/>
                      <w:sz w:val="16"/>
                      <w:szCs w:val="16"/>
                    </w:rPr>
                    <w:t xml:space="preserve"> vaccine booster </w:t>
                  </w:r>
                </w:p>
              </w:tc>
              <w:tc>
                <w:tcPr>
                  <w:tcW w:w="4660" w:type="dxa"/>
                  <w:tcBorders>
                    <w:top w:val="single" w:sz="4" w:space="0" w:color="000000" w:themeColor="text1"/>
                    <w:left w:val="nil"/>
                    <w:bottom w:val="nil"/>
                    <w:right w:val="single" w:sz="4" w:space="0" w:color="000000" w:themeColor="text1"/>
                  </w:tcBorders>
                  <w:vAlign w:val="center"/>
                  <w:hideMark/>
                </w:tcPr>
                <w:p w14:paraId="58E326E1"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 regardless of vaccination status</w:t>
                  </w:r>
                  <w:r w:rsidRPr="00EC61E6">
                    <w:rPr>
                      <w:rFonts w:ascii="Calibri" w:eastAsia="Times New Roman" w:hAnsi="Calibri" w:cs="Calibri"/>
                      <w:color w:val="000000"/>
                      <w:sz w:val="16"/>
                      <w:szCs w:val="16"/>
                    </w:rPr>
                    <w:br/>
                    <w:t xml:space="preserve">Infection: furlough until received 24 hours of effective treatments and have improving symptoms    </w:t>
                  </w:r>
                </w:p>
              </w:tc>
            </w:tr>
            <w:tr w:rsidR="00EC61E6" w:rsidRPr="00EC61E6" w14:paraId="5EF1E383" w14:textId="77777777" w:rsidTr="0C1DA87D">
              <w:trPr>
                <w:trHeight w:val="1020"/>
              </w:trPr>
              <w:tc>
                <w:tcPr>
                  <w:tcW w:w="1600" w:type="dxa"/>
                  <w:tcBorders>
                    <w:top w:val="single" w:sz="4" w:space="0" w:color="000000" w:themeColor="text1"/>
                    <w:left w:val="single" w:sz="4" w:space="0" w:color="000000" w:themeColor="text1"/>
                    <w:bottom w:val="nil"/>
                    <w:right w:val="nil"/>
                  </w:tcBorders>
                  <w:vAlign w:val="center"/>
                  <w:hideMark/>
                </w:tcPr>
                <w:p w14:paraId="3ECEE1D9"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Monkeypox</w:t>
                  </w:r>
                </w:p>
              </w:tc>
              <w:tc>
                <w:tcPr>
                  <w:tcW w:w="3820" w:type="dxa"/>
                  <w:tcBorders>
                    <w:top w:val="single" w:sz="4" w:space="0" w:color="000000" w:themeColor="text1"/>
                    <w:left w:val="nil"/>
                    <w:bottom w:val="nil"/>
                    <w:right w:val="nil"/>
                  </w:tcBorders>
                  <w:vAlign w:val="center"/>
                  <w:hideMark/>
                </w:tcPr>
                <w:p w14:paraId="21BB188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Non-immune employees should receive one of the following:</w:t>
                  </w:r>
                  <w:r w:rsidRPr="00EC61E6">
                    <w:rPr>
                      <w:rFonts w:ascii="Calibri" w:eastAsia="Times New Roman" w:hAnsi="Calibri" w:cs="Calibri"/>
                      <w:color w:val="000000"/>
                      <w:sz w:val="16"/>
                      <w:szCs w:val="16"/>
                    </w:rPr>
                    <w:br/>
                    <w:t xml:space="preserve"> - Vaccine: ACAM2000 or JYNNEOSTM</w:t>
                  </w:r>
                  <w:r w:rsidRPr="00EC61E6">
                    <w:rPr>
                      <w:rFonts w:ascii="Calibri" w:eastAsia="Times New Roman" w:hAnsi="Calibri" w:cs="Calibri"/>
                      <w:color w:val="000000"/>
                      <w:sz w:val="16"/>
                      <w:szCs w:val="16"/>
                    </w:rPr>
                    <w:br/>
                    <w:t xml:space="preserve"> - Immunocompromised may benefit from intramuscular Vaccinia Immune Globulin   </w:t>
                  </w:r>
                </w:p>
              </w:tc>
              <w:tc>
                <w:tcPr>
                  <w:tcW w:w="4660" w:type="dxa"/>
                  <w:tcBorders>
                    <w:top w:val="single" w:sz="4" w:space="0" w:color="000000" w:themeColor="text1"/>
                    <w:left w:val="nil"/>
                    <w:bottom w:val="nil"/>
                    <w:right w:val="single" w:sz="4" w:space="0" w:color="000000" w:themeColor="text1"/>
                  </w:tcBorders>
                  <w:vAlign w:val="center"/>
                  <w:hideMark/>
                </w:tcPr>
                <w:p w14:paraId="21A8AC9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 but need active surveillance for symptoms</w:t>
                  </w:r>
                  <w:r w:rsidRPr="00EC61E6">
                    <w:rPr>
                      <w:rFonts w:ascii="Calibri" w:eastAsia="Times New Roman" w:hAnsi="Calibri" w:cs="Calibri"/>
                      <w:color w:val="000000"/>
                      <w:sz w:val="16"/>
                      <w:szCs w:val="16"/>
                    </w:rPr>
                    <w:br/>
                    <w:t>Infection: furlough until all lesions have crusted over</w:t>
                  </w:r>
                </w:p>
              </w:tc>
            </w:tr>
            <w:tr w:rsidR="00EC61E6" w:rsidRPr="00EC61E6" w14:paraId="3C890105" w14:textId="77777777" w:rsidTr="0C1DA87D">
              <w:trPr>
                <w:trHeight w:val="1632"/>
              </w:trPr>
              <w:tc>
                <w:tcPr>
                  <w:tcW w:w="1600" w:type="dxa"/>
                  <w:tcBorders>
                    <w:top w:val="single" w:sz="4" w:space="0" w:color="000000" w:themeColor="text1"/>
                    <w:left w:val="single" w:sz="4" w:space="0" w:color="000000" w:themeColor="text1"/>
                    <w:bottom w:val="nil"/>
                    <w:right w:val="nil"/>
                  </w:tcBorders>
                  <w:vAlign w:val="center"/>
                  <w:hideMark/>
                </w:tcPr>
                <w:p w14:paraId="00B1FD73"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Mumps</w:t>
                  </w:r>
                </w:p>
              </w:tc>
              <w:tc>
                <w:tcPr>
                  <w:tcW w:w="3820" w:type="dxa"/>
                  <w:tcBorders>
                    <w:top w:val="single" w:sz="4" w:space="0" w:color="000000" w:themeColor="text1"/>
                    <w:left w:val="nil"/>
                    <w:bottom w:val="nil"/>
                    <w:right w:val="nil"/>
                  </w:tcBorders>
                  <w:vAlign w:val="center"/>
                  <w:hideMark/>
                </w:tcPr>
                <w:p w14:paraId="4754C49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1A07E92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Exposure: if immune, there is no need for furlough. If not immune, furlough until 26 days after the onset of parotitis in the infected person. Unvaccinated employees who chose to get 1st dose of vaccine after the exposure may return to work immediately. Those with a history of 1 dose of vaccine may remain at work and be recommended to receive their 2nd dose. </w:t>
                  </w:r>
                  <w:r w:rsidRPr="00EC61E6">
                    <w:rPr>
                      <w:rFonts w:ascii="Calibri" w:eastAsia="Times New Roman" w:hAnsi="Calibri" w:cs="Calibri"/>
                      <w:color w:val="000000"/>
                      <w:sz w:val="16"/>
                      <w:szCs w:val="16"/>
                    </w:rPr>
                    <w:br/>
                    <w:t xml:space="preserve">Infection: furlough until 5 days after the onset of parotitis or other salivary gland swelling   </w:t>
                  </w:r>
                </w:p>
              </w:tc>
            </w:tr>
            <w:tr w:rsidR="00EC61E6" w:rsidRPr="00EC61E6" w14:paraId="377FC553" w14:textId="77777777" w:rsidTr="0C1DA87D">
              <w:trPr>
                <w:trHeight w:val="1020"/>
              </w:trPr>
              <w:tc>
                <w:tcPr>
                  <w:tcW w:w="1600" w:type="dxa"/>
                  <w:tcBorders>
                    <w:top w:val="single" w:sz="4" w:space="0" w:color="000000" w:themeColor="text1"/>
                    <w:left w:val="single" w:sz="4" w:space="0" w:color="000000" w:themeColor="text1"/>
                    <w:bottom w:val="nil"/>
                    <w:right w:val="nil"/>
                  </w:tcBorders>
                  <w:vAlign w:val="center"/>
                  <w:hideMark/>
                </w:tcPr>
                <w:p w14:paraId="6EF8F3F5"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Parvovirus</w:t>
                  </w:r>
                </w:p>
              </w:tc>
              <w:tc>
                <w:tcPr>
                  <w:tcW w:w="3820" w:type="dxa"/>
                  <w:tcBorders>
                    <w:top w:val="single" w:sz="4" w:space="0" w:color="000000" w:themeColor="text1"/>
                    <w:left w:val="nil"/>
                    <w:bottom w:val="nil"/>
                    <w:right w:val="nil"/>
                  </w:tcBorders>
                  <w:vAlign w:val="center"/>
                  <w:hideMark/>
                </w:tcPr>
                <w:p w14:paraId="5FB3E15B"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12D95AD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restrict from contact with immunocompromised, children, or pregnant women until resolution of symptoms. Otherwise, they can return to work &gt; 24 hours afebrile without antipyretics, </w:t>
                  </w:r>
                  <w:proofErr w:type="gramStart"/>
                  <w:r w:rsidRPr="00EC61E6">
                    <w:rPr>
                      <w:rFonts w:ascii="Calibri" w:eastAsia="Times New Roman" w:hAnsi="Calibri" w:cs="Calibri"/>
                      <w:color w:val="000000"/>
                      <w:sz w:val="16"/>
                      <w:szCs w:val="16"/>
                    </w:rPr>
                    <w:t>regardless</w:t>
                  </w:r>
                  <w:proofErr w:type="gramEnd"/>
                  <w:r w:rsidRPr="00EC61E6">
                    <w:rPr>
                      <w:rFonts w:ascii="Calibri" w:eastAsia="Times New Roman" w:hAnsi="Calibri" w:cs="Calibri"/>
                      <w:color w:val="000000"/>
                      <w:sz w:val="16"/>
                      <w:szCs w:val="16"/>
                    </w:rPr>
                    <w:t xml:space="preserve"> if they still have a rash. </w:t>
                  </w:r>
                </w:p>
              </w:tc>
            </w:tr>
            <w:tr w:rsidR="00EC61E6" w:rsidRPr="00EC61E6" w14:paraId="071275C6" w14:textId="77777777" w:rsidTr="0C1DA87D">
              <w:trPr>
                <w:trHeight w:val="1428"/>
              </w:trPr>
              <w:tc>
                <w:tcPr>
                  <w:tcW w:w="1600" w:type="dxa"/>
                  <w:tcBorders>
                    <w:top w:val="single" w:sz="4" w:space="0" w:color="000000" w:themeColor="text1"/>
                    <w:left w:val="single" w:sz="4" w:space="0" w:color="000000" w:themeColor="text1"/>
                    <w:bottom w:val="nil"/>
                    <w:right w:val="nil"/>
                  </w:tcBorders>
                  <w:vAlign w:val="center"/>
                  <w:hideMark/>
                </w:tcPr>
                <w:p w14:paraId="3BC1D05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lastRenderedPageBreak/>
                    <w:t>Pertussis</w:t>
                  </w:r>
                </w:p>
              </w:tc>
              <w:tc>
                <w:tcPr>
                  <w:tcW w:w="3820" w:type="dxa"/>
                  <w:tcBorders>
                    <w:top w:val="single" w:sz="4" w:space="0" w:color="000000" w:themeColor="text1"/>
                    <w:left w:val="nil"/>
                    <w:bottom w:val="nil"/>
                    <w:right w:val="nil"/>
                  </w:tcBorders>
                  <w:vAlign w:val="center"/>
                  <w:hideMark/>
                </w:tcPr>
                <w:p w14:paraId="1562E65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Antibiotics (one of the following):</w:t>
                  </w:r>
                  <w:r w:rsidRPr="00EC61E6">
                    <w:rPr>
                      <w:rFonts w:ascii="Calibri" w:eastAsia="Times New Roman" w:hAnsi="Calibri" w:cs="Calibri"/>
                      <w:color w:val="000000"/>
                      <w:sz w:val="16"/>
                      <w:szCs w:val="16"/>
                    </w:rPr>
                    <w:br/>
                    <w:t xml:space="preserve"> - Azithromycin 500 mg on day 1, then 250 mg per day on days 2-5</w:t>
                  </w:r>
                  <w:r w:rsidRPr="00EC61E6">
                    <w:rPr>
                      <w:rFonts w:ascii="Calibri" w:eastAsia="Times New Roman" w:hAnsi="Calibri" w:cs="Calibri"/>
                      <w:color w:val="000000"/>
                      <w:sz w:val="16"/>
                      <w:szCs w:val="16"/>
                    </w:rPr>
                    <w:br/>
                    <w:t xml:space="preserve"> - Erythromycin 500 mg QID for 14 days</w:t>
                  </w:r>
                  <w:r w:rsidRPr="00EC61E6">
                    <w:rPr>
                      <w:rFonts w:ascii="Calibri" w:eastAsia="Times New Roman" w:hAnsi="Calibri" w:cs="Calibri"/>
                      <w:color w:val="000000"/>
                      <w:sz w:val="16"/>
                      <w:szCs w:val="16"/>
                    </w:rPr>
                    <w:br/>
                    <w:t xml:space="preserve"> - Clarithromycin 500 mg BID for 7 days</w:t>
                  </w:r>
                  <w:r w:rsidRPr="00EC61E6">
                    <w:rPr>
                      <w:rFonts w:ascii="Calibri" w:eastAsia="Times New Roman" w:hAnsi="Calibri" w:cs="Calibri"/>
                      <w:color w:val="000000"/>
                      <w:sz w:val="16"/>
                      <w:szCs w:val="16"/>
                    </w:rPr>
                    <w:br/>
                    <w:t xml:space="preserve"> - Sulfamethoxazole/trimethoprim 1 DS tablet PO BID x 14 days</w:t>
                  </w:r>
                </w:p>
              </w:tc>
              <w:tc>
                <w:tcPr>
                  <w:tcW w:w="4660" w:type="dxa"/>
                  <w:tcBorders>
                    <w:top w:val="single" w:sz="4" w:space="0" w:color="000000" w:themeColor="text1"/>
                    <w:left w:val="nil"/>
                    <w:bottom w:val="nil"/>
                    <w:right w:val="single" w:sz="4" w:space="0" w:color="000000" w:themeColor="text1"/>
                  </w:tcBorders>
                  <w:vAlign w:val="center"/>
                  <w:hideMark/>
                </w:tcPr>
                <w:p w14:paraId="0E2A47D5"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 regardless of vaccine status</w:t>
                  </w:r>
                  <w:r w:rsidRPr="00EC61E6">
                    <w:rPr>
                      <w:rFonts w:ascii="Calibri" w:eastAsia="Times New Roman" w:hAnsi="Calibri" w:cs="Calibri"/>
                      <w:color w:val="000000"/>
                      <w:sz w:val="16"/>
                      <w:szCs w:val="16"/>
                    </w:rPr>
                    <w:br/>
                    <w:t xml:space="preserve">Infection: furlough until 3 weeks after the onset of cough or until 5 days after the start of antibiotics </w:t>
                  </w:r>
                </w:p>
              </w:tc>
            </w:tr>
            <w:tr w:rsidR="00EC61E6" w:rsidRPr="00EC61E6" w14:paraId="1DB99B2A" w14:textId="77777777" w:rsidTr="0C1DA87D">
              <w:trPr>
                <w:trHeight w:val="408"/>
              </w:trPr>
              <w:tc>
                <w:tcPr>
                  <w:tcW w:w="1600" w:type="dxa"/>
                  <w:tcBorders>
                    <w:top w:val="single" w:sz="4" w:space="0" w:color="000000" w:themeColor="text1"/>
                    <w:left w:val="single" w:sz="4" w:space="0" w:color="000000" w:themeColor="text1"/>
                    <w:bottom w:val="nil"/>
                    <w:right w:val="nil"/>
                  </w:tcBorders>
                  <w:vAlign w:val="center"/>
                  <w:hideMark/>
                </w:tcPr>
                <w:p w14:paraId="6A3CD3A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Q Fever (Coxiella </w:t>
                  </w:r>
                  <w:proofErr w:type="spellStart"/>
                  <w:r w:rsidRPr="00EC61E6">
                    <w:rPr>
                      <w:rFonts w:ascii="Calibri" w:eastAsia="Times New Roman" w:hAnsi="Calibri" w:cs="Calibri"/>
                      <w:color w:val="000000"/>
                      <w:sz w:val="16"/>
                      <w:szCs w:val="16"/>
                    </w:rPr>
                    <w:t>burnettii</w:t>
                  </w:r>
                  <w:proofErr w:type="spellEnd"/>
                  <w:r w:rsidRPr="00EC61E6">
                    <w:rPr>
                      <w:rFonts w:ascii="Calibri" w:eastAsia="Times New Roman" w:hAnsi="Calibri" w:cs="Calibri"/>
                      <w:color w:val="000000"/>
                      <w:sz w:val="16"/>
                      <w:szCs w:val="16"/>
                    </w:rPr>
                    <w:t>)</w:t>
                  </w:r>
                </w:p>
              </w:tc>
              <w:tc>
                <w:tcPr>
                  <w:tcW w:w="3820" w:type="dxa"/>
                  <w:tcBorders>
                    <w:top w:val="single" w:sz="4" w:space="0" w:color="000000" w:themeColor="text1"/>
                    <w:left w:val="nil"/>
                    <w:bottom w:val="nil"/>
                    <w:right w:val="nil"/>
                  </w:tcBorders>
                  <w:vAlign w:val="center"/>
                  <w:hideMark/>
                </w:tcPr>
                <w:p w14:paraId="3A911D7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6C23351D"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Infection: no work restrictions</w:t>
                  </w:r>
                </w:p>
              </w:tc>
            </w:tr>
            <w:tr w:rsidR="00EC61E6" w:rsidRPr="00EC61E6" w14:paraId="64643928"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7482570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Respiratory Illness - General without a specific agent</w:t>
                  </w:r>
                </w:p>
              </w:tc>
              <w:tc>
                <w:tcPr>
                  <w:tcW w:w="3820" w:type="dxa"/>
                  <w:tcBorders>
                    <w:top w:val="single" w:sz="4" w:space="0" w:color="000000" w:themeColor="text1"/>
                    <w:left w:val="nil"/>
                    <w:bottom w:val="nil"/>
                    <w:right w:val="nil"/>
                  </w:tcBorders>
                  <w:vAlign w:val="center"/>
                  <w:hideMark/>
                </w:tcPr>
                <w:p w14:paraId="475166E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18E6AC14"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until &gt; 24 hours afebrile without antipyretics AND symptoms have significantly improved </w:t>
                  </w:r>
                </w:p>
              </w:tc>
            </w:tr>
            <w:tr w:rsidR="00EC61E6" w:rsidRPr="00EC61E6" w14:paraId="0501DA1C"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73F18EB7"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Rubella</w:t>
                  </w:r>
                </w:p>
              </w:tc>
              <w:tc>
                <w:tcPr>
                  <w:tcW w:w="3820" w:type="dxa"/>
                  <w:tcBorders>
                    <w:top w:val="single" w:sz="4" w:space="0" w:color="000000" w:themeColor="text1"/>
                    <w:left w:val="nil"/>
                    <w:bottom w:val="nil"/>
                    <w:right w:val="nil"/>
                  </w:tcBorders>
                  <w:vAlign w:val="center"/>
                  <w:hideMark/>
                </w:tcPr>
                <w:p w14:paraId="14FD04DC"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49B0217F"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if immune, there is no need for furlough. If not immune, furlough from 7 to 23 days after exposure.</w:t>
                  </w:r>
                  <w:r w:rsidRPr="00EC61E6">
                    <w:rPr>
                      <w:rFonts w:ascii="Calibri" w:eastAsia="Times New Roman" w:hAnsi="Calibri" w:cs="Calibri"/>
                      <w:color w:val="000000"/>
                      <w:sz w:val="16"/>
                      <w:szCs w:val="16"/>
                    </w:rPr>
                    <w:br/>
                    <w:t>Infection: furlough until 7 days after the appearance of the rash</w:t>
                  </w:r>
                </w:p>
              </w:tc>
            </w:tr>
            <w:tr w:rsidR="00EC61E6" w:rsidRPr="00EC61E6" w14:paraId="14FB3FD1"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331916E6"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Scabies</w:t>
                  </w:r>
                </w:p>
              </w:tc>
              <w:tc>
                <w:tcPr>
                  <w:tcW w:w="3820" w:type="dxa"/>
                  <w:tcBorders>
                    <w:top w:val="single" w:sz="4" w:space="0" w:color="000000" w:themeColor="text1"/>
                    <w:left w:val="nil"/>
                    <w:bottom w:val="nil"/>
                    <w:right w:val="nil"/>
                  </w:tcBorders>
                  <w:vAlign w:val="center"/>
                  <w:hideMark/>
                </w:tcPr>
                <w:p w14:paraId="64904E45"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0F17894E"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furlough until completion of effective treatment and resolution of symptoms  </w:t>
                  </w:r>
                </w:p>
              </w:tc>
            </w:tr>
            <w:tr w:rsidR="00EC61E6" w:rsidRPr="00EC61E6" w14:paraId="43AE96DE"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05CBFD89"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Skin lesions, non-infectious </w:t>
                  </w:r>
                </w:p>
              </w:tc>
              <w:tc>
                <w:tcPr>
                  <w:tcW w:w="3820" w:type="dxa"/>
                  <w:tcBorders>
                    <w:top w:val="single" w:sz="4" w:space="0" w:color="000000" w:themeColor="text1"/>
                    <w:left w:val="nil"/>
                    <w:bottom w:val="nil"/>
                    <w:right w:val="nil"/>
                  </w:tcBorders>
                  <w:vAlign w:val="center"/>
                  <w:hideMark/>
                </w:tcPr>
                <w:p w14:paraId="7DCA249E"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4EEBB5E9"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Infection:  can continue to work if able to cover up lesions in a way that prevents wounds from being in direct contact with patients.</w:t>
                  </w:r>
                </w:p>
              </w:tc>
            </w:tr>
            <w:tr w:rsidR="00EC61E6" w:rsidRPr="00EC61E6" w14:paraId="28C75A8A" w14:textId="77777777" w:rsidTr="0C1DA87D">
              <w:trPr>
                <w:trHeight w:val="1224"/>
              </w:trPr>
              <w:tc>
                <w:tcPr>
                  <w:tcW w:w="1600" w:type="dxa"/>
                  <w:tcBorders>
                    <w:top w:val="single" w:sz="4" w:space="0" w:color="000000" w:themeColor="text1"/>
                    <w:left w:val="single" w:sz="4" w:space="0" w:color="000000" w:themeColor="text1"/>
                    <w:bottom w:val="nil"/>
                    <w:right w:val="nil"/>
                  </w:tcBorders>
                  <w:vAlign w:val="center"/>
                  <w:hideMark/>
                </w:tcPr>
                <w:p w14:paraId="1BDE99B8"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Skin lesions, Staphylococcus aureus </w:t>
                  </w:r>
                </w:p>
              </w:tc>
              <w:tc>
                <w:tcPr>
                  <w:tcW w:w="3820" w:type="dxa"/>
                  <w:tcBorders>
                    <w:top w:val="single" w:sz="4" w:space="0" w:color="000000" w:themeColor="text1"/>
                    <w:left w:val="nil"/>
                    <w:bottom w:val="nil"/>
                    <w:right w:val="nil"/>
                  </w:tcBorders>
                  <w:vAlign w:val="center"/>
                  <w:hideMark/>
                </w:tcPr>
                <w:p w14:paraId="45BBDDDE"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533B661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 xml:space="preserve">Infection: </w:t>
                  </w:r>
                  <w:proofErr w:type="gramStart"/>
                  <w:r w:rsidRPr="00EC61E6">
                    <w:rPr>
                      <w:rFonts w:ascii="Calibri" w:eastAsia="Times New Roman" w:hAnsi="Calibri" w:cs="Calibri"/>
                      <w:color w:val="000000"/>
                      <w:sz w:val="16"/>
                      <w:szCs w:val="16"/>
                    </w:rPr>
                    <w:t>can</w:t>
                  </w:r>
                  <w:proofErr w:type="gramEnd"/>
                  <w:r w:rsidRPr="00EC61E6">
                    <w:rPr>
                      <w:rFonts w:ascii="Calibri" w:eastAsia="Times New Roman" w:hAnsi="Calibri" w:cs="Calibri"/>
                      <w:color w:val="000000"/>
                      <w:sz w:val="16"/>
                      <w:szCs w:val="16"/>
                    </w:rPr>
                    <w:t xml:space="preserve"> continue to work if able to cover up lesions, contain wound drainage, and maintain good hygiene practices. Workers with skin infections should not conduct activities where skin-to-skin contact with the affected area is likely to occur until their wounds heal.</w:t>
                  </w:r>
                </w:p>
              </w:tc>
            </w:tr>
            <w:tr w:rsidR="00EC61E6" w:rsidRPr="00EC61E6" w14:paraId="3FB9AF82" w14:textId="77777777" w:rsidTr="0C1DA87D">
              <w:trPr>
                <w:trHeight w:val="612"/>
              </w:trPr>
              <w:tc>
                <w:tcPr>
                  <w:tcW w:w="1600" w:type="dxa"/>
                  <w:tcBorders>
                    <w:top w:val="single" w:sz="4" w:space="0" w:color="000000" w:themeColor="text1"/>
                    <w:left w:val="single" w:sz="4" w:space="0" w:color="000000" w:themeColor="text1"/>
                    <w:bottom w:val="nil"/>
                    <w:right w:val="nil"/>
                  </w:tcBorders>
                  <w:vAlign w:val="center"/>
                  <w:hideMark/>
                </w:tcPr>
                <w:p w14:paraId="02E93B1A"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Tuberculosis</w:t>
                  </w:r>
                </w:p>
              </w:tc>
              <w:tc>
                <w:tcPr>
                  <w:tcW w:w="3820" w:type="dxa"/>
                  <w:tcBorders>
                    <w:top w:val="single" w:sz="4" w:space="0" w:color="000000" w:themeColor="text1"/>
                    <w:left w:val="nil"/>
                    <w:bottom w:val="nil"/>
                    <w:right w:val="nil"/>
                  </w:tcBorders>
                  <w:vAlign w:val="center"/>
                  <w:hideMark/>
                </w:tcPr>
                <w:p w14:paraId="488CF53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 PEP recommended</w:t>
                  </w:r>
                </w:p>
              </w:tc>
              <w:tc>
                <w:tcPr>
                  <w:tcW w:w="4660" w:type="dxa"/>
                  <w:tcBorders>
                    <w:top w:val="single" w:sz="4" w:space="0" w:color="000000" w:themeColor="text1"/>
                    <w:left w:val="nil"/>
                    <w:bottom w:val="nil"/>
                    <w:right w:val="single" w:sz="4" w:space="0" w:color="000000" w:themeColor="text1"/>
                  </w:tcBorders>
                  <w:vAlign w:val="center"/>
                  <w:hideMark/>
                </w:tcPr>
                <w:p w14:paraId="62A71ABD"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Exposure: no work restrictions</w:t>
                  </w:r>
                  <w:r w:rsidRPr="00EC61E6">
                    <w:rPr>
                      <w:rFonts w:ascii="Calibri" w:eastAsia="Times New Roman" w:hAnsi="Calibri" w:cs="Calibri"/>
                      <w:color w:val="000000"/>
                      <w:sz w:val="16"/>
                      <w:szCs w:val="16"/>
                    </w:rPr>
                    <w:br/>
                    <w:t>Infection: furlough until obtains approval from Infection Prevention before returning to work</w:t>
                  </w:r>
                </w:p>
              </w:tc>
            </w:tr>
            <w:tr w:rsidR="00EC61E6" w:rsidRPr="00EC61E6" w14:paraId="46432E09" w14:textId="77777777" w:rsidTr="0C1DA87D">
              <w:trPr>
                <w:trHeight w:val="300"/>
              </w:trPr>
              <w:tc>
                <w:tcPr>
                  <w:tcW w:w="1600" w:type="dxa"/>
                  <w:tcBorders>
                    <w:top w:val="single" w:sz="4" w:space="0" w:color="000000" w:themeColor="text1"/>
                    <w:left w:val="single" w:sz="4" w:space="0" w:color="000000" w:themeColor="text1"/>
                    <w:bottom w:val="single" w:sz="4" w:space="0" w:color="000000" w:themeColor="text1"/>
                    <w:right w:val="nil"/>
                  </w:tcBorders>
                  <w:vAlign w:val="center"/>
                  <w:hideMark/>
                </w:tcPr>
                <w:p w14:paraId="518EE8D0"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Varicella-Zoster (Chickenpox and Shingles)</w:t>
                  </w:r>
                </w:p>
              </w:tc>
              <w:tc>
                <w:tcPr>
                  <w:tcW w:w="3820" w:type="dxa"/>
                  <w:tcBorders>
                    <w:top w:val="single" w:sz="4" w:space="0" w:color="000000" w:themeColor="text1"/>
                    <w:left w:val="nil"/>
                    <w:bottom w:val="single" w:sz="4" w:space="0" w:color="000000" w:themeColor="text1"/>
                    <w:right w:val="nil"/>
                  </w:tcBorders>
                  <w:vAlign w:val="center"/>
                  <w:hideMark/>
                </w:tcPr>
                <w:p w14:paraId="7286648D"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Non-immune employees should receive one of the following:</w:t>
                  </w:r>
                  <w:r w:rsidRPr="00EC61E6">
                    <w:rPr>
                      <w:rFonts w:ascii="Calibri" w:eastAsia="Times New Roman" w:hAnsi="Calibri" w:cs="Calibri"/>
                      <w:color w:val="000000"/>
                      <w:sz w:val="16"/>
                      <w:szCs w:val="16"/>
                    </w:rPr>
                    <w:br/>
                    <w:t xml:space="preserve"> - </w:t>
                  </w:r>
                  <w:proofErr w:type="spellStart"/>
                  <w:r w:rsidRPr="00EC61E6">
                    <w:rPr>
                      <w:rFonts w:ascii="Calibri" w:eastAsia="Times New Roman" w:hAnsi="Calibri" w:cs="Calibri"/>
                      <w:color w:val="000000"/>
                      <w:sz w:val="16"/>
                      <w:szCs w:val="16"/>
                    </w:rPr>
                    <w:t>Varivax</w:t>
                  </w:r>
                  <w:proofErr w:type="spellEnd"/>
                  <w:r w:rsidRPr="00EC61E6">
                    <w:rPr>
                      <w:rFonts w:ascii="Calibri" w:eastAsia="Times New Roman" w:hAnsi="Calibri" w:cs="Calibri"/>
                      <w:color w:val="000000"/>
                      <w:sz w:val="16"/>
                      <w:szCs w:val="16"/>
                    </w:rPr>
                    <w:t xml:space="preserve"> vaccine</w:t>
                  </w:r>
                  <w:r w:rsidRPr="00EC61E6">
                    <w:rPr>
                      <w:rFonts w:ascii="Calibri" w:eastAsia="Times New Roman" w:hAnsi="Calibri" w:cs="Calibri"/>
                      <w:color w:val="000000"/>
                      <w:sz w:val="16"/>
                      <w:szCs w:val="16"/>
                    </w:rPr>
                    <w:br/>
                    <w:t xml:space="preserve"> - Or Varicella Zoster Immune Globulin (</w:t>
                  </w:r>
                  <w:proofErr w:type="spellStart"/>
                  <w:r w:rsidRPr="00EC61E6">
                    <w:rPr>
                      <w:rFonts w:ascii="Calibri" w:eastAsia="Times New Roman" w:hAnsi="Calibri" w:cs="Calibri"/>
                      <w:color w:val="000000"/>
                      <w:sz w:val="16"/>
                      <w:szCs w:val="16"/>
                    </w:rPr>
                    <w:t>VariZIGTM</w:t>
                  </w:r>
                  <w:proofErr w:type="spellEnd"/>
                  <w:r w:rsidRPr="00EC61E6">
                    <w:rPr>
                      <w:rFonts w:ascii="Calibri" w:eastAsia="Times New Roman" w:hAnsi="Calibri" w:cs="Calibri"/>
                      <w:color w:val="000000"/>
                      <w:sz w:val="16"/>
                      <w:szCs w:val="16"/>
                    </w:rPr>
                    <w:t xml:space="preserve">) 125 IU/10 kg of body weight, up to a maximum of 625 IU    </w:t>
                  </w:r>
                </w:p>
              </w:tc>
              <w:tc>
                <w:tcPr>
                  <w:tcW w:w="4660" w:type="dxa"/>
                  <w:tcBorders>
                    <w:top w:val="single" w:sz="4" w:space="0" w:color="000000" w:themeColor="text1"/>
                    <w:left w:val="nil"/>
                    <w:bottom w:val="single" w:sz="4" w:space="0" w:color="000000" w:themeColor="text1"/>
                    <w:right w:val="single" w:sz="4" w:space="0" w:color="000000" w:themeColor="text1"/>
                  </w:tcBorders>
                  <w:vAlign w:val="center"/>
                  <w:hideMark/>
                </w:tcPr>
                <w:p w14:paraId="28CC7221" w14:textId="77777777" w:rsidR="00EC61E6" w:rsidRPr="00EC61E6" w:rsidRDefault="00EC61E6" w:rsidP="00EC61E6">
                  <w:pPr>
                    <w:spacing w:after="0" w:line="240" w:lineRule="auto"/>
                    <w:rPr>
                      <w:rFonts w:ascii="Calibri" w:eastAsia="Times New Roman" w:hAnsi="Calibri" w:cs="Calibri"/>
                      <w:color w:val="000000"/>
                      <w:sz w:val="16"/>
                      <w:szCs w:val="16"/>
                    </w:rPr>
                  </w:pPr>
                  <w:r w:rsidRPr="00EC61E6">
                    <w:rPr>
                      <w:rFonts w:ascii="Calibri" w:eastAsia="Times New Roman" w:hAnsi="Calibri" w:cs="Calibri"/>
                      <w:color w:val="000000"/>
                      <w:sz w:val="16"/>
                      <w:szCs w:val="16"/>
                    </w:rPr>
                    <w:t xml:space="preserve">Exposure: if immune, there is no need for furlough. If not immune, furlough from days 8 to 21 after exposure. Those with a history of 1 dose of vaccine may remain at work and be recommended to receive their 2nd dose. </w:t>
                  </w:r>
                  <w:r w:rsidRPr="00EC61E6">
                    <w:rPr>
                      <w:rFonts w:ascii="Calibri" w:eastAsia="Times New Roman" w:hAnsi="Calibri" w:cs="Calibri"/>
                      <w:color w:val="000000"/>
                      <w:sz w:val="16"/>
                      <w:szCs w:val="16"/>
                    </w:rPr>
                    <w:br/>
                    <w:t xml:space="preserve">Infection: </w:t>
                  </w:r>
                  <w:proofErr w:type="gramStart"/>
                  <w:r w:rsidRPr="00EC61E6">
                    <w:rPr>
                      <w:rFonts w:ascii="Calibri" w:eastAsia="Times New Roman" w:hAnsi="Calibri" w:cs="Calibri"/>
                      <w:color w:val="000000"/>
                      <w:sz w:val="16"/>
                      <w:szCs w:val="16"/>
                    </w:rPr>
                    <w:t>can</w:t>
                  </w:r>
                  <w:proofErr w:type="gramEnd"/>
                  <w:r w:rsidRPr="00EC61E6">
                    <w:rPr>
                      <w:rFonts w:ascii="Calibri" w:eastAsia="Times New Roman" w:hAnsi="Calibri" w:cs="Calibri"/>
                      <w:color w:val="000000"/>
                      <w:sz w:val="16"/>
                      <w:szCs w:val="16"/>
                    </w:rPr>
                    <w:t xml:space="preserve"> continue to work if able to cover up lesions with </w:t>
                  </w:r>
                  <w:proofErr w:type="gramStart"/>
                  <w:r w:rsidRPr="00EC61E6">
                    <w:rPr>
                      <w:rFonts w:ascii="Calibri" w:eastAsia="Times New Roman" w:hAnsi="Calibri" w:cs="Calibri"/>
                      <w:color w:val="000000"/>
                      <w:sz w:val="16"/>
                      <w:szCs w:val="16"/>
                    </w:rPr>
                    <w:t>a taped</w:t>
                  </w:r>
                  <w:proofErr w:type="gramEnd"/>
                  <w:r w:rsidRPr="00EC61E6">
                    <w:rPr>
                      <w:rFonts w:ascii="Calibri" w:eastAsia="Times New Roman" w:hAnsi="Calibri" w:cs="Calibri"/>
                      <w:color w:val="000000"/>
                      <w:sz w:val="16"/>
                      <w:szCs w:val="16"/>
                    </w:rPr>
                    <w:t xml:space="preserve"> dressing. Those with disseminated zoster or working with pregnant or </w:t>
                  </w:r>
                  <w:proofErr w:type="gramStart"/>
                  <w:r w:rsidRPr="00EC61E6">
                    <w:rPr>
                      <w:rFonts w:ascii="Calibri" w:eastAsia="Times New Roman" w:hAnsi="Calibri" w:cs="Calibri"/>
                      <w:color w:val="000000"/>
                      <w:sz w:val="16"/>
                      <w:szCs w:val="16"/>
                    </w:rPr>
                    <w:t>immunocompromised</w:t>
                  </w:r>
                  <w:proofErr w:type="gramEnd"/>
                  <w:r w:rsidRPr="00EC61E6">
                    <w:rPr>
                      <w:rFonts w:ascii="Calibri" w:eastAsia="Times New Roman" w:hAnsi="Calibri" w:cs="Calibri"/>
                      <w:color w:val="000000"/>
                      <w:sz w:val="16"/>
                      <w:szCs w:val="16"/>
                    </w:rPr>
                    <w:t xml:space="preserve"> patients should be reassigned or furloughed until the lesions have crusted over.</w:t>
                  </w:r>
                </w:p>
              </w:tc>
            </w:tr>
          </w:tbl>
          <w:p w14:paraId="671DC20D" w14:textId="5D3901EE" w:rsidR="004E189E" w:rsidRPr="0062689B" w:rsidRDefault="004E189E" w:rsidP="00F1546B">
            <w:pPr>
              <w:spacing w:after="120" w:line="260" w:lineRule="exact"/>
              <w:contextualSpacing/>
              <w:rPr>
                <w:rFonts w:ascii="Arial" w:hAnsi="Arial" w:cs="Arial"/>
                <w:sz w:val="20"/>
                <w:szCs w:val="20"/>
              </w:rPr>
            </w:pPr>
          </w:p>
        </w:tc>
      </w:tr>
      <w:tr w:rsidR="0057791F" w14:paraId="671DC210" w14:textId="77777777" w:rsidTr="0C1DA87D">
        <w:trPr>
          <w:trHeight w:val="288"/>
          <w:jc w:val="center"/>
        </w:trPr>
        <w:tc>
          <w:tcPr>
            <w:tcW w:w="10570" w:type="dxa"/>
            <w:gridSpan w:val="3"/>
            <w:shd w:val="clear" w:color="auto" w:fill="E1E1E1"/>
            <w:vAlign w:val="center"/>
          </w:tcPr>
          <w:p w14:paraId="671DC20F" w14:textId="77777777" w:rsidR="009F215D" w:rsidRPr="0062689B" w:rsidRDefault="00BC6F07" w:rsidP="00384B12">
            <w:pPr>
              <w:spacing w:after="0" w:line="240" w:lineRule="auto"/>
              <w:rPr>
                <w:rFonts w:ascii="Arial" w:hAnsi="Arial" w:cs="Arial"/>
                <w:b/>
                <w:smallCaps/>
                <w:sz w:val="24"/>
                <w:szCs w:val="24"/>
              </w:rPr>
            </w:pPr>
            <w:r w:rsidRPr="0062689B">
              <w:rPr>
                <w:rFonts w:ascii="Arial" w:hAnsi="Arial" w:cs="Arial"/>
                <w:b/>
                <w:smallCaps/>
                <w:sz w:val="24"/>
                <w:szCs w:val="24"/>
              </w:rPr>
              <w:lastRenderedPageBreak/>
              <w:t>Responsibilities</w:t>
            </w:r>
          </w:p>
        </w:tc>
      </w:tr>
      <w:tr w:rsidR="009003DA" w14:paraId="4D75CB8B" w14:textId="77777777" w:rsidTr="0C1DA87D">
        <w:trPr>
          <w:trHeight w:val="288"/>
          <w:jc w:val="center"/>
        </w:trPr>
        <w:tc>
          <w:tcPr>
            <w:tcW w:w="10570" w:type="dxa"/>
            <w:gridSpan w:val="3"/>
            <w:vAlign w:val="center"/>
          </w:tcPr>
          <w:p w14:paraId="1D2D19F0" w14:textId="77777777" w:rsidR="007C7ABC" w:rsidRPr="007C7ABC" w:rsidRDefault="007C7ABC" w:rsidP="007C7ABC">
            <w:pPr>
              <w:rPr>
                <w:rFonts w:ascii="Arial" w:hAnsi="Arial" w:cs="Arial"/>
                <w:b/>
                <w:bCs/>
                <w:sz w:val="20"/>
                <w:szCs w:val="20"/>
              </w:rPr>
            </w:pPr>
            <w:r w:rsidRPr="007C7ABC">
              <w:rPr>
                <w:rFonts w:ascii="Arial" w:hAnsi="Arial" w:cs="Arial"/>
                <w:b/>
                <w:bCs/>
                <w:sz w:val="20"/>
                <w:szCs w:val="20"/>
              </w:rPr>
              <w:t>Employees:</w:t>
            </w:r>
          </w:p>
          <w:p w14:paraId="6648D6AA" w14:textId="1505E9ED" w:rsidR="007C7ABC" w:rsidRPr="007C7ABC" w:rsidRDefault="007C7ABC" w:rsidP="007C7ABC">
            <w:pPr>
              <w:rPr>
                <w:rFonts w:ascii="Arial" w:hAnsi="Arial" w:cs="Arial"/>
                <w:sz w:val="20"/>
                <w:szCs w:val="20"/>
              </w:rPr>
            </w:pPr>
            <w:r w:rsidRPr="007C7ABC">
              <w:rPr>
                <w:rFonts w:ascii="Arial" w:hAnsi="Arial" w:cs="Arial"/>
                <w:sz w:val="20"/>
                <w:szCs w:val="20"/>
              </w:rPr>
              <w:t xml:space="preserve">Any employee who suspects that they have been exposed to </w:t>
            </w:r>
            <w:r w:rsidR="006B7E0C">
              <w:rPr>
                <w:rFonts w:ascii="Arial" w:hAnsi="Arial" w:cs="Arial"/>
                <w:sz w:val="20"/>
                <w:szCs w:val="20"/>
              </w:rPr>
              <w:t xml:space="preserve">infectious agents </w:t>
            </w:r>
            <w:r w:rsidRPr="007C7ABC">
              <w:rPr>
                <w:rFonts w:ascii="Arial" w:hAnsi="Arial" w:cs="Arial"/>
                <w:sz w:val="20"/>
                <w:szCs w:val="20"/>
              </w:rPr>
              <w:t>should:</w:t>
            </w:r>
          </w:p>
          <w:p w14:paraId="136026BB" w14:textId="77777777" w:rsidR="007C7ABC" w:rsidRPr="007C7ABC" w:rsidRDefault="007C7ABC" w:rsidP="007C7ABC">
            <w:pPr>
              <w:pStyle w:val="ListParagraph"/>
              <w:numPr>
                <w:ilvl w:val="0"/>
                <w:numId w:val="5"/>
              </w:numPr>
              <w:spacing w:after="0" w:line="240" w:lineRule="auto"/>
              <w:rPr>
                <w:rFonts w:ascii="Arial" w:hAnsi="Arial" w:cs="Arial"/>
                <w:sz w:val="20"/>
                <w:szCs w:val="20"/>
              </w:rPr>
            </w:pPr>
            <w:r w:rsidRPr="007C7ABC">
              <w:rPr>
                <w:rFonts w:ascii="Arial" w:hAnsi="Arial" w:cs="Arial"/>
                <w:sz w:val="20"/>
                <w:szCs w:val="20"/>
              </w:rPr>
              <w:t>Complete an Event Report/First Report of Injury</w:t>
            </w:r>
          </w:p>
          <w:p w14:paraId="10F7F82C" w14:textId="2E0D01ED" w:rsidR="007C7ABC" w:rsidRPr="007C7ABC" w:rsidRDefault="00315274" w:rsidP="007C7ABC">
            <w:pPr>
              <w:pStyle w:val="ListParagraph"/>
              <w:numPr>
                <w:ilvl w:val="0"/>
                <w:numId w:val="5"/>
              </w:numPr>
              <w:spacing w:after="0" w:line="240" w:lineRule="auto"/>
              <w:rPr>
                <w:rFonts w:ascii="Arial" w:hAnsi="Arial" w:cs="Arial"/>
                <w:sz w:val="20"/>
                <w:szCs w:val="20"/>
              </w:rPr>
            </w:pPr>
            <w:r>
              <w:rPr>
                <w:rFonts w:ascii="Arial" w:hAnsi="Arial" w:cs="Arial"/>
                <w:sz w:val="20"/>
                <w:szCs w:val="20"/>
              </w:rPr>
              <w:t>E</w:t>
            </w:r>
            <w:r w:rsidR="007C7ABC" w:rsidRPr="007C7ABC">
              <w:rPr>
                <w:rFonts w:ascii="Arial" w:hAnsi="Arial" w:cs="Arial"/>
                <w:sz w:val="20"/>
                <w:szCs w:val="20"/>
              </w:rPr>
              <w:t xml:space="preserve">mployee exposure – </w:t>
            </w:r>
            <w:r w:rsidRPr="007C7ABC">
              <w:rPr>
                <w:rFonts w:ascii="Arial" w:hAnsi="Arial" w:cs="Arial"/>
                <w:sz w:val="20"/>
                <w:szCs w:val="20"/>
              </w:rPr>
              <w:t xml:space="preserve">Employee or </w:t>
            </w:r>
            <w:r w:rsidR="007C7ABC" w:rsidRPr="007C7ABC">
              <w:rPr>
                <w:rFonts w:ascii="Arial" w:hAnsi="Arial" w:cs="Arial"/>
                <w:sz w:val="20"/>
                <w:szCs w:val="20"/>
              </w:rPr>
              <w:t>Department Manager completes the “</w:t>
            </w:r>
            <w:hyperlink r:id="rId11">
              <w:r w:rsidR="006B50E0">
                <w:rPr>
                  <w:rStyle w:val="Hyperlink"/>
                  <w:rFonts w:ascii="Arial" w:hAnsi="Arial" w:cs="Arial"/>
                  <w:sz w:val="20"/>
                  <w:szCs w:val="20"/>
                </w:rPr>
                <w:t>Initial Work</w:t>
              </w:r>
              <w:r w:rsidR="007C7ABC" w:rsidRPr="007C7ABC">
                <w:rPr>
                  <w:rStyle w:val="Hyperlink"/>
                  <w:rFonts w:ascii="Arial" w:hAnsi="Arial" w:cs="Arial"/>
                  <w:sz w:val="20"/>
                  <w:szCs w:val="20"/>
                </w:rPr>
                <w:t xml:space="preserve"> Exposure Form</w:t>
              </w:r>
            </w:hyperlink>
            <w:r w:rsidR="007C7ABC" w:rsidRPr="007C7ABC">
              <w:rPr>
                <w:rFonts w:ascii="Arial" w:hAnsi="Arial" w:cs="Arial"/>
                <w:sz w:val="20"/>
                <w:szCs w:val="20"/>
              </w:rPr>
              <w:t xml:space="preserve">” </w:t>
            </w:r>
          </w:p>
          <w:p w14:paraId="13F874C6" w14:textId="77777777" w:rsidR="007C7ABC" w:rsidRPr="007C7ABC" w:rsidRDefault="007C7ABC" w:rsidP="007C7ABC">
            <w:pPr>
              <w:pStyle w:val="ListParagraph"/>
              <w:numPr>
                <w:ilvl w:val="0"/>
                <w:numId w:val="5"/>
              </w:numPr>
              <w:spacing w:after="0" w:line="240" w:lineRule="auto"/>
              <w:rPr>
                <w:rFonts w:ascii="Arial" w:hAnsi="Arial" w:cs="Arial"/>
                <w:sz w:val="20"/>
                <w:szCs w:val="20"/>
              </w:rPr>
            </w:pPr>
            <w:r w:rsidRPr="007C7ABC">
              <w:rPr>
                <w:rFonts w:ascii="Arial" w:hAnsi="Arial" w:cs="Arial"/>
                <w:sz w:val="20"/>
                <w:szCs w:val="20"/>
              </w:rPr>
              <w:t>Notify Occupational Health – call the 24-hour Exposure Pager (214-645-1600)</w:t>
            </w:r>
          </w:p>
          <w:p w14:paraId="3DA479AA" w14:textId="77777777" w:rsidR="007C7ABC" w:rsidRPr="007C7ABC" w:rsidRDefault="007C7ABC" w:rsidP="007C7ABC">
            <w:pPr>
              <w:pStyle w:val="ListParagraph"/>
              <w:numPr>
                <w:ilvl w:val="0"/>
                <w:numId w:val="5"/>
              </w:numPr>
              <w:spacing w:after="0" w:line="240" w:lineRule="auto"/>
              <w:rPr>
                <w:rFonts w:ascii="Arial" w:hAnsi="Arial" w:cs="Arial"/>
                <w:sz w:val="20"/>
                <w:szCs w:val="20"/>
              </w:rPr>
            </w:pPr>
            <w:r w:rsidRPr="007C7ABC">
              <w:rPr>
                <w:rFonts w:ascii="Arial" w:hAnsi="Arial" w:cs="Arial"/>
                <w:sz w:val="20"/>
                <w:szCs w:val="20"/>
              </w:rPr>
              <w:t>Follow Instructions provided by the Occupational Health Exposure Nurse M-F 8 am-5 pm, or Hospital Operations Supervisor M-F 5 pm-8 am, as well as during holidays and weekends</w:t>
            </w:r>
          </w:p>
          <w:p w14:paraId="69DC4F43" w14:textId="77777777" w:rsidR="007C7ABC" w:rsidRPr="007C7ABC" w:rsidRDefault="007C7ABC" w:rsidP="007C7ABC">
            <w:pPr>
              <w:pStyle w:val="ListParagraph"/>
              <w:numPr>
                <w:ilvl w:val="0"/>
                <w:numId w:val="5"/>
              </w:numPr>
              <w:spacing w:after="0" w:line="240" w:lineRule="auto"/>
              <w:rPr>
                <w:rFonts w:ascii="Arial" w:hAnsi="Arial" w:cs="Arial"/>
                <w:sz w:val="20"/>
                <w:szCs w:val="20"/>
              </w:rPr>
            </w:pPr>
            <w:r w:rsidRPr="007C7ABC">
              <w:rPr>
                <w:rFonts w:ascii="Arial" w:hAnsi="Arial" w:cs="Arial"/>
                <w:sz w:val="20"/>
                <w:szCs w:val="20"/>
              </w:rPr>
              <w:t>Provide specimens for testing – if testing is necessary, Occupational Health Exposure Nurse will coordinate the test collection for the employee and ensure the specimens are delivered to the lab for analysis</w:t>
            </w:r>
          </w:p>
          <w:p w14:paraId="43D9BBBE" w14:textId="77777777" w:rsidR="007C7ABC" w:rsidRPr="007C7ABC" w:rsidRDefault="007C7ABC" w:rsidP="007C7ABC">
            <w:pPr>
              <w:pStyle w:val="ListParagraph"/>
              <w:numPr>
                <w:ilvl w:val="0"/>
                <w:numId w:val="5"/>
              </w:numPr>
              <w:spacing w:after="120"/>
              <w:rPr>
                <w:rFonts w:ascii="Arial" w:hAnsi="Arial" w:cs="Arial"/>
                <w:sz w:val="20"/>
                <w:szCs w:val="20"/>
              </w:rPr>
            </w:pPr>
            <w:r w:rsidRPr="007C7ABC">
              <w:rPr>
                <w:rFonts w:ascii="Arial" w:hAnsi="Arial" w:cs="Arial"/>
                <w:sz w:val="20"/>
                <w:szCs w:val="20"/>
              </w:rPr>
              <w:t>Post-Exposure Follow-up – Occupational Health Exposure Nurse will help schedule follow-up appointments if needed</w:t>
            </w:r>
          </w:p>
          <w:p w14:paraId="13045246" w14:textId="77777777" w:rsidR="007C7ABC" w:rsidRPr="007C7ABC" w:rsidRDefault="007C7ABC" w:rsidP="007C7ABC">
            <w:pPr>
              <w:spacing w:after="120"/>
              <w:contextualSpacing/>
              <w:rPr>
                <w:rFonts w:ascii="Arial" w:hAnsi="Arial" w:cs="Arial"/>
                <w:b/>
                <w:sz w:val="20"/>
                <w:szCs w:val="20"/>
              </w:rPr>
            </w:pPr>
            <w:r w:rsidRPr="007C7ABC">
              <w:rPr>
                <w:rFonts w:ascii="Arial" w:hAnsi="Arial" w:cs="Arial"/>
                <w:b/>
                <w:sz w:val="20"/>
                <w:szCs w:val="20"/>
              </w:rPr>
              <w:t xml:space="preserve">Unit or Departmental Managers or Supervisors: </w:t>
            </w:r>
          </w:p>
          <w:p w14:paraId="27D510A3" w14:textId="77777777" w:rsidR="007C7ABC" w:rsidRPr="007C7ABC" w:rsidRDefault="007C7ABC" w:rsidP="007C7ABC">
            <w:pPr>
              <w:pStyle w:val="ListParagraph"/>
              <w:numPr>
                <w:ilvl w:val="0"/>
                <w:numId w:val="6"/>
              </w:numPr>
              <w:spacing w:after="120" w:line="240" w:lineRule="auto"/>
              <w:rPr>
                <w:rFonts w:ascii="Arial" w:hAnsi="Arial" w:cs="Arial"/>
                <w:sz w:val="20"/>
                <w:szCs w:val="20"/>
              </w:rPr>
            </w:pPr>
            <w:r w:rsidRPr="007C7ABC">
              <w:rPr>
                <w:rFonts w:ascii="Arial" w:hAnsi="Arial" w:cs="Arial"/>
                <w:sz w:val="20"/>
                <w:szCs w:val="20"/>
              </w:rPr>
              <w:t>Facilitate communication with employees</w:t>
            </w:r>
          </w:p>
          <w:p w14:paraId="33EC0273" w14:textId="4C059D44" w:rsidR="007C7ABC" w:rsidRPr="00EE61D6" w:rsidRDefault="007C7ABC" w:rsidP="007C7ABC">
            <w:pPr>
              <w:pStyle w:val="ListParagraph"/>
              <w:numPr>
                <w:ilvl w:val="0"/>
                <w:numId w:val="6"/>
              </w:numPr>
              <w:spacing w:after="120"/>
              <w:rPr>
                <w:rFonts w:ascii="Arial" w:hAnsi="Arial" w:cs="Arial"/>
                <w:sz w:val="20"/>
                <w:szCs w:val="20"/>
              </w:rPr>
            </w:pPr>
            <w:r w:rsidRPr="007C7ABC">
              <w:rPr>
                <w:rFonts w:ascii="Arial" w:hAnsi="Arial" w:cs="Arial"/>
                <w:sz w:val="20"/>
                <w:szCs w:val="20"/>
              </w:rPr>
              <w:t>Complete the First Report of Injury if not already done by the employee</w:t>
            </w:r>
            <w:r w:rsidRPr="007C7ABC">
              <w:rPr>
                <w:rFonts w:ascii="Arial" w:hAnsi="Arial" w:cs="Arial"/>
                <w:b/>
                <w:sz w:val="20"/>
                <w:szCs w:val="20"/>
              </w:rPr>
              <w:t xml:space="preserve"> </w:t>
            </w:r>
          </w:p>
          <w:p w14:paraId="0E6F2A79" w14:textId="77777777" w:rsidR="00EE61D6" w:rsidRPr="007C7ABC" w:rsidRDefault="00EE61D6" w:rsidP="00EE61D6">
            <w:pPr>
              <w:pStyle w:val="ListParagraph"/>
              <w:spacing w:after="120"/>
              <w:rPr>
                <w:rFonts w:ascii="Arial" w:hAnsi="Arial" w:cs="Arial"/>
                <w:sz w:val="20"/>
                <w:szCs w:val="20"/>
              </w:rPr>
            </w:pPr>
          </w:p>
          <w:p w14:paraId="0026C954" w14:textId="3A914E35" w:rsidR="007C7ABC" w:rsidRPr="007C7ABC" w:rsidRDefault="007C7ABC" w:rsidP="007C7ABC">
            <w:pPr>
              <w:spacing w:after="120"/>
              <w:contextualSpacing/>
              <w:rPr>
                <w:rFonts w:ascii="Arial" w:hAnsi="Arial" w:cs="Arial"/>
                <w:b/>
                <w:sz w:val="20"/>
                <w:szCs w:val="20"/>
              </w:rPr>
            </w:pPr>
            <w:r w:rsidRPr="007C7ABC">
              <w:rPr>
                <w:rFonts w:ascii="Arial" w:hAnsi="Arial" w:cs="Arial"/>
                <w:b/>
                <w:sz w:val="20"/>
                <w:szCs w:val="20"/>
              </w:rPr>
              <w:t xml:space="preserve">Occupational Health Exposure Nurse: </w:t>
            </w:r>
          </w:p>
          <w:p w14:paraId="6B063CEE" w14:textId="77777777" w:rsidR="007C7ABC" w:rsidRPr="007C7ABC" w:rsidRDefault="007C7ABC" w:rsidP="007C7ABC">
            <w:pPr>
              <w:pStyle w:val="ListParagraph"/>
              <w:numPr>
                <w:ilvl w:val="0"/>
                <w:numId w:val="7"/>
              </w:numPr>
              <w:spacing w:after="120" w:line="240" w:lineRule="auto"/>
              <w:rPr>
                <w:rFonts w:ascii="Arial" w:hAnsi="Arial" w:cs="Arial"/>
                <w:sz w:val="20"/>
                <w:szCs w:val="20"/>
              </w:rPr>
            </w:pPr>
            <w:r w:rsidRPr="007C7ABC">
              <w:rPr>
                <w:rFonts w:ascii="Arial" w:hAnsi="Arial" w:cs="Arial"/>
                <w:sz w:val="20"/>
                <w:szCs w:val="20"/>
              </w:rPr>
              <w:t>Employee Counseling – discuss exposure protocol and indications for PEP</w:t>
            </w:r>
          </w:p>
          <w:p w14:paraId="695C771D" w14:textId="77777777" w:rsidR="007C7ABC" w:rsidRPr="007C7ABC" w:rsidRDefault="007C7ABC" w:rsidP="007C7ABC">
            <w:pPr>
              <w:pStyle w:val="ListParagraph"/>
              <w:numPr>
                <w:ilvl w:val="0"/>
                <w:numId w:val="7"/>
              </w:numPr>
              <w:spacing w:after="120"/>
              <w:rPr>
                <w:rFonts w:ascii="Arial" w:hAnsi="Arial" w:cs="Arial"/>
                <w:color w:val="000000" w:themeColor="text1"/>
                <w:sz w:val="20"/>
                <w:szCs w:val="20"/>
              </w:rPr>
            </w:pPr>
            <w:r w:rsidRPr="007C7ABC">
              <w:rPr>
                <w:rFonts w:ascii="Arial" w:hAnsi="Arial" w:cs="Arial"/>
                <w:sz w:val="20"/>
                <w:szCs w:val="20"/>
              </w:rPr>
              <w:lastRenderedPageBreak/>
              <w:t xml:space="preserve">Document – </w:t>
            </w:r>
            <w:proofErr w:type="spellStart"/>
            <w:r w:rsidRPr="007C7ABC">
              <w:rPr>
                <w:rFonts w:ascii="Arial" w:hAnsi="Arial" w:cs="Arial"/>
                <w:sz w:val="20"/>
                <w:szCs w:val="20"/>
              </w:rPr>
              <w:t>ReadySet</w:t>
            </w:r>
            <w:proofErr w:type="spellEnd"/>
            <w:r w:rsidRPr="007C7ABC">
              <w:rPr>
                <w:rFonts w:ascii="Arial" w:hAnsi="Arial" w:cs="Arial"/>
                <w:sz w:val="20"/>
                <w:szCs w:val="20"/>
              </w:rPr>
              <w:t xml:space="preserve"> and upload laboratory results as indicated</w:t>
            </w:r>
          </w:p>
          <w:p w14:paraId="1B52771E" w14:textId="77777777" w:rsidR="007C7ABC" w:rsidRPr="007C7ABC" w:rsidRDefault="007C7ABC" w:rsidP="007C7ABC">
            <w:pPr>
              <w:spacing w:after="120"/>
              <w:rPr>
                <w:rFonts w:ascii="Arial" w:hAnsi="Arial" w:cs="Arial"/>
                <w:b/>
                <w:color w:val="000000" w:themeColor="text1"/>
                <w:sz w:val="20"/>
                <w:szCs w:val="20"/>
              </w:rPr>
            </w:pPr>
            <w:r w:rsidRPr="007C7ABC">
              <w:rPr>
                <w:rFonts w:ascii="Arial" w:hAnsi="Arial" w:cs="Arial"/>
                <w:b/>
                <w:color w:val="000000" w:themeColor="text1"/>
                <w:sz w:val="20"/>
                <w:szCs w:val="20"/>
              </w:rPr>
              <w:t xml:space="preserve">Occupational Health: </w:t>
            </w:r>
          </w:p>
          <w:p w14:paraId="45B07CBC" w14:textId="77777777" w:rsidR="007C7ABC" w:rsidRPr="007C7ABC" w:rsidRDefault="007C7ABC" w:rsidP="007C7ABC">
            <w:pPr>
              <w:pStyle w:val="ListParagraph"/>
              <w:numPr>
                <w:ilvl w:val="0"/>
                <w:numId w:val="8"/>
              </w:numPr>
              <w:spacing w:after="120" w:line="240" w:lineRule="auto"/>
              <w:rPr>
                <w:rFonts w:ascii="Arial" w:hAnsi="Arial" w:cs="Arial"/>
                <w:color w:val="000000" w:themeColor="text1"/>
                <w:sz w:val="20"/>
                <w:szCs w:val="20"/>
              </w:rPr>
            </w:pPr>
            <w:r w:rsidRPr="007C7ABC">
              <w:rPr>
                <w:rFonts w:ascii="Arial" w:hAnsi="Arial" w:cs="Arial"/>
                <w:color w:val="000000" w:themeColor="text1"/>
                <w:sz w:val="20"/>
                <w:szCs w:val="20"/>
              </w:rPr>
              <w:t xml:space="preserve">Answer the exposure </w:t>
            </w:r>
            <w:proofErr w:type="gramStart"/>
            <w:r w:rsidRPr="007C7ABC">
              <w:rPr>
                <w:rFonts w:ascii="Arial" w:hAnsi="Arial" w:cs="Arial"/>
                <w:color w:val="000000" w:themeColor="text1"/>
                <w:sz w:val="20"/>
                <w:szCs w:val="20"/>
              </w:rPr>
              <w:t>pager</w:t>
            </w:r>
            <w:proofErr w:type="gramEnd"/>
            <w:r w:rsidRPr="007C7ABC">
              <w:rPr>
                <w:rFonts w:ascii="Arial" w:hAnsi="Arial" w:cs="Arial"/>
                <w:color w:val="000000" w:themeColor="text1"/>
                <w:sz w:val="20"/>
                <w:szCs w:val="20"/>
              </w:rPr>
              <w:t xml:space="preserve"> from 8 am to 5 pm</w:t>
            </w:r>
          </w:p>
          <w:p w14:paraId="1EAE130A" w14:textId="77777777" w:rsidR="007C7ABC" w:rsidRPr="007C7ABC" w:rsidRDefault="007C7ABC" w:rsidP="007C7ABC">
            <w:pPr>
              <w:pStyle w:val="ListParagraph"/>
              <w:numPr>
                <w:ilvl w:val="0"/>
                <w:numId w:val="8"/>
              </w:numPr>
              <w:spacing w:after="120" w:line="240" w:lineRule="auto"/>
              <w:rPr>
                <w:rFonts w:ascii="Arial" w:hAnsi="Arial" w:cs="Arial"/>
                <w:color w:val="000000" w:themeColor="text1"/>
                <w:sz w:val="20"/>
                <w:szCs w:val="20"/>
              </w:rPr>
            </w:pPr>
            <w:r w:rsidRPr="007C7ABC">
              <w:rPr>
                <w:rFonts w:ascii="Arial" w:hAnsi="Arial" w:cs="Arial"/>
                <w:color w:val="000000" w:themeColor="text1"/>
                <w:sz w:val="20"/>
                <w:szCs w:val="20"/>
              </w:rPr>
              <w:t>Arranging for laboratory testing and prophylaxis if indicated</w:t>
            </w:r>
          </w:p>
          <w:p w14:paraId="171D18D6" w14:textId="77777777" w:rsidR="007C7ABC" w:rsidRPr="007C7ABC" w:rsidRDefault="007C7ABC" w:rsidP="007C7ABC">
            <w:pPr>
              <w:pStyle w:val="ListParagraph"/>
              <w:numPr>
                <w:ilvl w:val="0"/>
                <w:numId w:val="8"/>
              </w:numPr>
              <w:spacing w:after="120" w:line="240" w:lineRule="auto"/>
              <w:rPr>
                <w:rFonts w:ascii="Arial" w:hAnsi="Arial" w:cs="Arial"/>
                <w:color w:val="000000" w:themeColor="text1"/>
                <w:sz w:val="20"/>
                <w:szCs w:val="20"/>
              </w:rPr>
            </w:pPr>
            <w:r w:rsidRPr="007C7ABC">
              <w:rPr>
                <w:rFonts w:ascii="Arial" w:hAnsi="Arial" w:cs="Arial"/>
                <w:color w:val="000000" w:themeColor="text1"/>
                <w:sz w:val="20"/>
                <w:szCs w:val="20"/>
              </w:rPr>
              <w:t>Provide counseling</w:t>
            </w:r>
          </w:p>
          <w:p w14:paraId="524E980B" w14:textId="77777777" w:rsidR="007C7ABC" w:rsidRPr="007C7ABC" w:rsidRDefault="007C7ABC" w:rsidP="007C7ABC">
            <w:pPr>
              <w:pStyle w:val="ListParagraph"/>
              <w:numPr>
                <w:ilvl w:val="0"/>
                <w:numId w:val="8"/>
              </w:numPr>
              <w:spacing w:after="120" w:line="240" w:lineRule="auto"/>
              <w:rPr>
                <w:rFonts w:ascii="Arial" w:hAnsi="Arial" w:cs="Arial"/>
                <w:color w:val="000000" w:themeColor="text1"/>
                <w:sz w:val="20"/>
                <w:szCs w:val="20"/>
              </w:rPr>
            </w:pPr>
            <w:r w:rsidRPr="007C7ABC">
              <w:rPr>
                <w:rFonts w:ascii="Arial" w:hAnsi="Arial" w:cs="Arial"/>
                <w:color w:val="000000" w:themeColor="text1"/>
                <w:sz w:val="20"/>
                <w:szCs w:val="20"/>
              </w:rPr>
              <w:t>Appropriate tracking and follow-up of the exposed employee</w:t>
            </w:r>
          </w:p>
          <w:p w14:paraId="2C2BB0B8" w14:textId="77777777" w:rsidR="007C7ABC" w:rsidRPr="007C7ABC" w:rsidRDefault="007C7ABC" w:rsidP="007C7ABC">
            <w:pPr>
              <w:pStyle w:val="ListParagraph"/>
              <w:numPr>
                <w:ilvl w:val="0"/>
                <w:numId w:val="8"/>
              </w:numPr>
              <w:spacing w:after="120" w:line="240" w:lineRule="auto"/>
              <w:rPr>
                <w:rFonts w:ascii="Arial" w:hAnsi="Arial" w:cs="Arial"/>
                <w:color w:val="000000" w:themeColor="text1"/>
                <w:sz w:val="20"/>
                <w:szCs w:val="20"/>
              </w:rPr>
            </w:pPr>
            <w:r w:rsidRPr="007C7ABC">
              <w:rPr>
                <w:rFonts w:ascii="Arial" w:hAnsi="Arial" w:cs="Arial"/>
                <w:color w:val="000000" w:themeColor="text1"/>
                <w:sz w:val="20"/>
                <w:szCs w:val="20"/>
              </w:rPr>
              <w:t>Consult with the Administrative Supervisor of Hospital Operations for after-hours exposures</w:t>
            </w:r>
          </w:p>
          <w:p w14:paraId="23274AB4" w14:textId="77777777" w:rsidR="007C7ABC" w:rsidRPr="007C7ABC" w:rsidRDefault="007C7ABC" w:rsidP="007C7ABC">
            <w:pPr>
              <w:pStyle w:val="ListParagraph"/>
              <w:numPr>
                <w:ilvl w:val="0"/>
                <w:numId w:val="8"/>
              </w:numPr>
              <w:spacing w:after="120"/>
              <w:rPr>
                <w:rFonts w:ascii="Arial" w:hAnsi="Arial" w:cs="Arial"/>
                <w:color w:val="000000" w:themeColor="text1"/>
                <w:sz w:val="20"/>
                <w:szCs w:val="20"/>
              </w:rPr>
            </w:pPr>
            <w:proofErr w:type="gramStart"/>
            <w:r w:rsidRPr="007C7ABC">
              <w:rPr>
                <w:rFonts w:ascii="Arial" w:hAnsi="Arial" w:cs="Arial"/>
                <w:color w:val="000000" w:themeColor="text1"/>
                <w:sz w:val="20"/>
                <w:szCs w:val="20"/>
              </w:rPr>
              <w:t>Collaborate</w:t>
            </w:r>
            <w:proofErr w:type="gramEnd"/>
            <w:r w:rsidRPr="007C7ABC">
              <w:rPr>
                <w:rFonts w:ascii="Arial" w:hAnsi="Arial" w:cs="Arial"/>
                <w:color w:val="000000" w:themeColor="text1"/>
                <w:sz w:val="20"/>
                <w:szCs w:val="20"/>
              </w:rPr>
              <w:t xml:space="preserve"> with Infection Prevention and Infectious Disease as needed</w:t>
            </w:r>
          </w:p>
          <w:p w14:paraId="35699649" w14:textId="77777777" w:rsidR="007C7ABC" w:rsidRPr="007C7ABC" w:rsidRDefault="007C7ABC" w:rsidP="007C7ABC">
            <w:pPr>
              <w:spacing w:after="120"/>
              <w:rPr>
                <w:rFonts w:ascii="Arial" w:hAnsi="Arial" w:cs="Arial"/>
                <w:b/>
                <w:color w:val="000000" w:themeColor="text1"/>
                <w:sz w:val="20"/>
                <w:szCs w:val="20"/>
              </w:rPr>
            </w:pPr>
            <w:r w:rsidRPr="007C7ABC">
              <w:rPr>
                <w:rFonts w:ascii="Arial" w:hAnsi="Arial" w:cs="Arial"/>
                <w:b/>
                <w:color w:val="000000" w:themeColor="text1"/>
                <w:sz w:val="20"/>
                <w:szCs w:val="20"/>
              </w:rPr>
              <w:t xml:space="preserve">Infection Prevention: </w:t>
            </w:r>
          </w:p>
          <w:p w14:paraId="2EB73F85" w14:textId="7AFEBFCC" w:rsidR="007C7ABC" w:rsidRDefault="007C7ABC" w:rsidP="007C7ABC">
            <w:pPr>
              <w:pStyle w:val="ListParagraph"/>
              <w:numPr>
                <w:ilvl w:val="0"/>
                <w:numId w:val="9"/>
              </w:numPr>
              <w:spacing w:after="120"/>
              <w:rPr>
                <w:rFonts w:ascii="Arial" w:hAnsi="Arial" w:cs="Arial"/>
                <w:color w:val="000000" w:themeColor="text1"/>
                <w:sz w:val="20"/>
                <w:szCs w:val="20"/>
              </w:rPr>
            </w:pPr>
            <w:proofErr w:type="gramStart"/>
            <w:r w:rsidRPr="007C7ABC">
              <w:rPr>
                <w:rFonts w:ascii="Arial" w:hAnsi="Arial" w:cs="Arial"/>
                <w:color w:val="000000" w:themeColor="text1"/>
                <w:sz w:val="20"/>
                <w:szCs w:val="20"/>
              </w:rPr>
              <w:t>Reports</w:t>
            </w:r>
            <w:proofErr w:type="gramEnd"/>
            <w:r w:rsidRPr="007C7ABC">
              <w:rPr>
                <w:rFonts w:ascii="Arial" w:hAnsi="Arial" w:cs="Arial"/>
                <w:color w:val="000000" w:themeColor="text1"/>
                <w:sz w:val="20"/>
                <w:szCs w:val="20"/>
              </w:rPr>
              <w:t xml:space="preserve"> exposures to applicable agencies </w:t>
            </w:r>
          </w:p>
          <w:p w14:paraId="1A10E2E2" w14:textId="4964CBC9" w:rsidR="006B7E0C" w:rsidRPr="007C7ABC" w:rsidRDefault="006B7E0C" w:rsidP="006B7E0C">
            <w:pPr>
              <w:pStyle w:val="ListParagraph"/>
              <w:numPr>
                <w:ilvl w:val="0"/>
                <w:numId w:val="9"/>
              </w:numPr>
              <w:spacing w:after="120"/>
              <w:rPr>
                <w:rFonts w:ascii="Arial" w:hAnsi="Arial" w:cs="Arial"/>
                <w:color w:val="000000" w:themeColor="text1"/>
                <w:sz w:val="20"/>
                <w:szCs w:val="20"/>
              </w:rPr>
            </w:pPr>
            <w:r w:rsidRPr="006B7E0C">
              <w:rPr>
                <w:rFonts w:ascii="Arial" w:hAnsi="Arial" w:cs="Arial"/>
                <w:color w:val="000000" w:themeColor="text1"/>
                <w:sz w:val="20"/>
                <w:szCs w:val="20"/>
              </w:rPr>
              <w:t>Approve return to work for certain infectious diseases</w:t>
            </w:r>
          </w:p>
          <w:p w14:paraId="470C925B" w14:textId="77777777" w:rsidR="007C7ABC" w:rsidRPr="007C7ABC" w:rsidRDefault="007C7ABC" w:rsidP="007C7ABC">
            <w:pPr>
              <w:spacing w:after="120"/>
              <w:rPr>
                <w:rFonts w:ascii="Arial" w:hAnsi="Arial" w:cs="Arial"/>
                <w:b/>
                <w:color w:val="000000" w:themeColor="text1"/>
                <w:sz w:val="20"/>
                <w:szCs w:val="20"/>
              </w:rPr>
            </w:pPr>
            <w:r w:rsidRPr="007C7ABC">
              <w:rPr>
                <w:rFonts w:ascii="Arial" w:hAnsi="Arial" w:cs="Arial"/>
                <w:b/>
                <w:color w:val="000000" w:themeColor="text1"/>
                <w:sz w:val="20"/>
                <w:szCs w:val="20"/>
              </w:rPr>
              <w:t xml:space="preserve">Administrative Supervisors of Hospital operations: </w:t>
            </w:r>
          </w:p>
          <w:p w14:paraId="48577A03" w14:textId="77777777" w:rsidR="007C7ABC" w:rsidRPr="007C7ABC" w:rsidRDefault="007C7ABC" w:rsidP="007C7ABC">
            <w:pPr>
              <w:pStyle w:val="ListParagraph"/>
              <w:numPr>
                <w:ilvl w:val="0"/>
                <w:numId w:val="10"/>
              </w:numPr>
              <w:spacing w:after="120" w:line="240" w:lineRule="auto"/>
              <w:rPr>
                <w:rFonts w:ascii="Arial" w:hAnsi="Arial" w:cs="Arial"/>
                <w:color w:val="000000" w:themeColor="text1"/>
                <w:sz w:val="20"/>
                <w:szCs w:val="20"/>
              </w:rPr>
            </w:pPr>
            <w:r w:rsidRPr="007C7ABC">
              <w:rPr>
                <w:rFonts w:ascii="Arial" w:hAnsi="Arial" w:cs="Arial"/>
                <w:color w:val="000000" w:themeColor="text1"/>
                <w:sz w:val="20"/>
                <w:szCs w:val="20"/>
              </w:rPr>
              <w:t xml:space="preserve">Answer the exposure </w:t>
            </w:r>
            <w:proofErr w:type="gramStart"/>
            <w:r w:rsidRPr="007C7ABC">
              <w:rPr>
                <w:rFonts w:ascii="Arial" w:hAnsi="Arial" w:cs="Arial"/>
                <w:color w:val="000000" w:themeColor="text1"/>
                <w:sz w:val="20"/>
                <w:szCs w:val="20"/>
              </w:rPr>
              <w:t>pager</w:t>
            </w:r>
            <w:proofErr w:type="gramEnd"/>
            <w:r w:rsidRPr="007C7ABC">
              <w:rPr>
                <w:rFonts w:ascii="Arial" w:hAnsi="Arial" w:cs="Arial"/>
                <w:color w:val="000000" w:themeColor="text1"/>
                <w:sz w:val="20"/>
                <w:szCs w:val="20"/>
              </w:rPr>
              <w:t xml:space="preserve"> between 5 pm to 8 am and on weekends/holidays</w:t>
            </w:r>
          </w:p>
          <w:p w14:paraId="5EF08D78" w14:textId="77777777" w:rsidR="007C7ABC" w:rsidRPr="007C7ABC" w:rsidRDefault="007C7ABC" w:rsidP="007C7ABC">
            <w:pPr>
              <w:pStyle w:val="ListParagraph"/>
              <w:numPr>
                <w:ilvl w:val="0"/>
                <w:numId w:val="10"/>
              </w:numPr>
              <w:spacing w:after="120" w:line="240" w:lineRule="auto"/>
              <w:rPr>
                <w:rFonts w:ascii="Arial" w:hAnsi="Arial" w:cs="Arial"/>
                <w:color w:val="000000" w:themeColor="text1"/>
                <w:sz w:val="20"/>
                <w:szCs w:val="20"/>
              </w:rPr>
            </w:pPr>
            <w:r w:rsidRPr="007C7ABC">
              <w:rPr>
                <w:rFonts w:ascii="Arial" w:hAnsi="Arial" w:cs="Arial"/>
                <w:color w:val="000000" w:themeColor="text1"/>
                <w:sz w:val="20"/>
                <w:szCs w:val="20"/>
              </w:rPr>
              <w:t>Follow Afterhours Workflow (Appendix C)</w:t>
            </w:r>
          </w:p>
          <w:p w14:paraId="4D702044" w14:textId="77777777" w:rsidR="007C7ABC" w:rsidRPr="007C7ABC" w:rsidRDefault="007C7ABC" w:rsidP="007C7ABC">
            <w:pPr>
              <w:pStyle w:val="ListParagraph"/>
              <w:numPr>
                <w:ilvl w:val="0"/>
                <w:numId w:val="10"/>
              </w:numPr>
              <w:spacing w:after="120"/>
              <w:rPr>
                <w:rFonts w:ascii="Arial" w:hAnsi="Arial" w:cs="Arial"/>
                <w:color w:val="000000" w:themeColor="text1"/>
                <w:sz w:val="20"/>
                <w:szCs w:val="20"/>
              </w:rPr>
            </w:pPr>
            <w:r w:rsidRPr="007C7ABC">
              <w:rPr>
                <w:rFonts w:ascii="Arial" w:hAnsi="Arial" w:cs="Arial"/>
                <w:color w:val="000000" w:themeColor="text1"/>
                <w:sz w:val="20"/>
                <w:szCs w:val="20"/>
              </w:rPr>
              <w:t>Consult with the OH on-call nurse per the protocol and as needed.</w:t>
            </w:r>
          </w:p>
          <w:p w14:paraId="6192AB37" w14:textId="77777777" w:rsidR="007C7ABC" w:rsidRPr="007C7ABC" w:rsidRDefault="007C7ABC" w:rsidP="007C7ABC">
            <w:pPr>
              <w:spacing w:after="120"/>
              <w:contextualSpacing/>
              <w:rPr>
                <w:rFonts w:ascii="Arial" w:hAnsi="Arial" w:cs="Arial"/>
                <w:b/>
                <w:sz w:val="20"/>
                <w:szCs w:val="20"/>
              </w:rPr>
            </w:pPr>
            <w:r w:rsidRPr="007C7ABC">
              <w:rPr>
                <w:rFonts w:ascii="Arial" w:hAnsi="Arial" w:cs="Arial"/>
                <w:b/>
                <w:sz w:val="20"/>
                <w:szCs w:val="20"/>
              </w:rPr>
              <w:t xml:space="preserve">Laboratory: </w:t>
            </w:r>
          </w:p>
          <w:p w14:paraId="52BF4701" w14:textId="77777777" w:rsidR="007C7ABC" w:rsidRPr="007C7ABC" w:rsidRDefault="007C7ABC" w:rsidP="007C7ABC">
            <w:pPr>
              <w:pStyle w:val="ListParagraph"/>
              <w:numPr>
                <w:ilvl w:val="0"/>
                <w:numId w:val="11"/>
              </w:numPr>
              <w:spacing w:after="120"/>
              <w:rPr>
                <w:rFonts w:ascii="Arial" w:hAnsi="Arial" w:cs="Arial"/>
                <w:sz w:val="20"/>
                <w:szCs w:val="20"/>
              </w:rPr>
            </w:pPr>
            <w:r w:rsidRPr="007C7ABC">
              <w:rPr>
                <w:rFonts w:ascii="Arial" w:hAnsi="Arial" w:cs="Arial"/>
                <w:sz w:val="20"/>
                <w:szCs w:val="20"/>
              </w:rPr>
              <w:t>Processing and analysis of employee specimens as indicated on the requisition</w:t>
            </w:r>
          </w:p>
          <w:p w14:paraId="0F13CC08" w14:textId="77777777" w:rsidR="007C7ABC" w:rsidRPr="007C7ABC" w:rsidRDefault="007C7ABC" w:rsidP="007C7ABC">
            <w:pPr>
              <w:spacing w:after="120"/>
              <w:contextualSpacing/>
              <w:rPr>
                <w:rFonts w:ascii="Arial" w:hAnsi="Arial" w:cs="Arial"/>
                <w:b/>
                <w:sz w:val="20"/>
                <w:szCs w:val="20"/>
              </w:rPr>
            </w:pPr>
            <w:r w:rsidRPr="007C7ABC">
              <w:rPr>
                <w:rFonts w:ascii="Arial" w:hAnsi="Arial" w:cs="Arial"/>
                <w:b/>
                <w:sz w:val="20"/>
                <w:szCs w:val="20"/>
              </w:rPr>
              <w:t xml:space="preserve">Pharmacy: </w:t>
            </w:r>
          </w:p>
          <w:p w14:paraId="0586FA25" w14:textId="77777777" w:rsidR="007C7ABC" w:rsidRPr="007C7ABC" w:rsidRDefault="007C7ABC" w:rsidP="007C7ABC">
            <w:pPr>
              <w:pStyle w:val="ListParagraph"/>
              <w:numPr>
                <w:ilvl w:val="0"/>
                <w:numId w:val="12"/>
              </w:numPr>
              <w:spacing w:after="0" w:line="240" w:lineRule="auto"/>
              <w:rPr>
                <w:rFonts w:ascii="Arial" w:hAnsi="Arial" w:cs="Arial"/>
                <w:sz w:val="20"/>
                <w:szCs w:val="20"/>
              </w:rPr>
            </w:pPr>
            <w:r w:rsidRPr="007C7ABC">
              <w:rPr>
                <w:rFonts w:ascii="Arial" w:hAnsi="Arial" w:cs="Arial"/>
                <w:sz w:val="20"/>
                <w:szCs w:val="20"/>
              </w:rPr>
              <w:t>Prepare and dispense medications upon order from the Occupational Health Provider or authorization of the standing order from the Occupational Health Exposure Nurse</w:t>
            </w:r>
          </w:p>
          <w:p w14:paraId="26370980" w14:textId="77777777" w:rsidR="007C7ABC" w:rsidRPr="007C7ABC" w:rsidRDefault="007C7ABC" w:rsidP="007C7ABC">
            <w:pPr>
              <w:pStyle w:val="NormalWeb"/>
              <w:rPr>
                <w:rFonts w:ascii="Arial" w:hAnsi="Arial" w:cs="Arial"/>
                <w:b/>
                <w:bCs/>
                <w:sz w:val="20"/>
                <w:szCs w:val="20"/>
              </w:rPr>
            </w:pPr>
            <w:r w:rsidRPr="007C7ABC">
              <w:rPr>
                <w:rFonts w:ascii="Arial" w:hAnsi="Arial" w:cs="Arial"/>
                <w:b/>
                <w:bCs/>
                <w:sz w:val="20"/>
                <w:szCs w:val="20"/>
              </w:rPr>
              <w:t>Principal Investigator of High-Risk research area:</w:t>
            </w:r>
          </w:p>
          <w:p w14:paraId="15753B6F" w14:textId="054876D1" w:rsidR="009003DA" w:rsidRPr="007C7ABC" w:rsidRDefault="007C7ABC" w:rsidP="006B7E0C">
            <w:pPr>
              <w:pStyle w:val="NormalWeb"/>
              <w:numPr>
                <w:ilvl w:val="0"/>
                <w:numId w:val="13"/>
              </w:numPr>
              <w:rPr>
                <w:rFonts w:ascii="Arial" w:hAnsi="Arial" w:cs="Arial"/>
                <w:sz w:val="20"/>
                <w:szCs w:val="20"/>
              </w:rPr>
            </w:pPr>
            <w:r w:rsidRPr="007C7ABC">
              <w:rPr>
                <w:rFonts w:ascii="Arial" w:hAnsi="Arial" w:cs="Arial"/>
                <w:sz w:val="20"/>
                <w:szCs w:val="20"/>
              </w:rPr>
              <w:t xml:space="preserve">Educates new employees about vaccination, appropriate personal protective equipment, and symptoms </w:t>
            </w:r>
            <w:r w:rsidR="006B7E0C" w:rsidRPr="007C7ABC">
              <w:rPr>
                <w:rFonts w:ascii="Arial" w:hAnsi="Arial" w:cs="Arial"/>
                <w:sz w:val="20"/>
                <w:szCs w:val="20"/>
              </w:rPr>
              <w:t xml:space="preserve">of </w:t>
            </w:r>
            <w:r w:rsidR="006B7E0C" w:rsidRPr="006B7E0C">
              <w:rPr>
                <w:rFonts w:ascii="Arial" w:hAnsi="Arial" w:cs="Arial"/>
                <w:sz w:val="20"/>
                <w:szCs w:val="20"/>
              </w:rPr>
              <w:t>infectious diseases they are studying</w:t>
            </w:r>
            <w:r w:rsidR="006B7E0C">
              <w:rPr>
                <w:rFonts w:ascii="Arial" w:hAnsi="Arial" w:cs="Arial"/>
                <w:sz w:val="20"/>
                <w:szCs w:val="20"/>
              </w:rPr>
              <w:t>.</w:t>
            </w:r>
          </w:p>
        </w:tc>
      </w:tr>
      <w:tr w:rsidR="0057791F" w14:paraId="671DC214" w14:textId="77777777" w:rsidTr="0C1DA87D">
        <w:trPr>
          <w:trHeight w:val="288"/>
          <w:jc w:val="center"/>
        </w:trPr>
        <w:tc>
          <w:tcPr>
            <w:tcW w:w="10570" w:type="dxa"/>
            <w:gridSpan w:val="3"/>
            <w:shd w:val="clear" w:color="auto" w:fill="E1E1E1"/>
            <w:vAlign w:val="center"/>
          </w:tcPr>
          <w:p w14:paraId="671DC213" w14:textId="77777777" w:rsidR="009F215D" w:rsidRPr="0062689B" w:rsidRDefault="00BC6F07" w:rsidP="00384B12">
            <w:pPr>
              <w:spacing w:after="0" w:line="240" w:lineRule="auto"/>
              <w:rPr>
                <w:rFonts w:ascii="Arial" w:hAnsi="Arial" w:cs="Arial"/>
                <w:b/>
                <w:smallCaps/>
                <w:sz w:val="24"/>
                <w:szCs w:val="24"/>
              </w:rPr>
            </w:pPr>
            <w:r w:rsidRPr="0062689B">
              <w:rPr>
                <w:rFonts w:ascii="Arial" w:hAnsi="Arial" w:cs="Arial"/>
                <w:b/>
                <w:smallCaps/>
                <w:sz w:val="24"/>
                <w:szCs w:val="24"/>
              </w:rPr>
              <w:lastRenderedPageBreak/>
              <w:t>Definitions</w:t>
            </w:r>
          </w:p>
        </w:tc>
      </w:tr>
      <w:tr w:rsidR="0057791F" w14:paraId="671DC21A" w14:textId="77777777" w:rsidTr="0C1DA87D">
        <w:trPr>
          <w:trHeight w:val="288"/>
          <w:jc w:val="center"/>
        </w:trPr>
        <w:tc>
          <w:tcPr>
            <w:tcW w:w="10570" w:type="dxa"/>
            <w:gridSpan w:val="3"/>
            <w:vAlign w:val="center"/>
          </w:tcPr>
          <w:p w14:paraId="44D71E8C" w14:textId="78265D4F" w:rsidR="006B7E0C" w:rsidRPr="006B7E0C" w:rsidRDefault="006B7E0C" w:rsidP="006B7E0C">
            <w:pPr>
              <w:pStyle w:val="ListParagraph"/>
              <w:numPr>
                <w:ilvl w:val="0"/>
                <w:numId w:val="29"/>
              </w:numPr>
              <w:spacing w:after="120" w:line="260" w:lineRule="exact"/>
              <w:ind w:left="360"/>
              <w:rPr>
                <w:rFonts w:ascii="Arial" w:hAnsi="Arial" w:cs="Arial"/>
                <w:sz w:val="20"/>
                <w:szCs w:val="20"/>
              </w:rPr>
            </w:pPr>
            <w:r w:rsidRPr="006B7E0C">
              <w:rPr>
                <w:rFonts w:ascii="Arial" w:hAnsi="Arial" w:cs="Arial"/>
                <w:b/>
                <w:sz w:val="20"/>
                <w:szCs w:val="20"/>
              </w:rPr>
              <w:t>Infectious disease/illness:</w:t>
            </w:r>
            <w:r w:rsidRPr="006B7E0C">
              <w:rPr>
                <w:rFonts w:ascii="Arial" w:hAnsi="Arial" w:cs="Arial"/>
                <w:sz w:val="20"/>
                <w:szCs w:val="20"/>
              </w:rPr>
              <w:t xml:space="preserve"> illness or condition transmissible under certain conditions to other </w:t>
            </w:r>
            <w:proofErr w:type="gramStart"/>
            <w:r w:rsidRPr="006B7E0C">
              <w:rPr>
                <w:rFonts w:ascii="Arial" w:hAnsi="Arial" w:cs="Arial"/>
                <w:sz w:val="20"/>
                <w:szCs w:val="20"/>
              </w:rPr>
              <w:t>persons</w:t>
            </w:r>
            <w:proofErr w:type="gramEnd"/>
            <w:r w:rsidRPr="006B7E0C">
              <w:rPr>
                <w:rFonts w:ascii="Arial" w:hAnsi="Arial" w:cs="Arial"/>
                <w:sz w:val="20"/>
                <w:szCs w:val="20"/>
              </w:rPr>
              <w:t>.</w:t>
            </w:r>
          </w:p>
          <w:p w14:paraId="0BBBB7A1" w14:textId="3C93EC42" w:rsidR="006B7E0C" w:rsidRPr="006B7E0C" w:rsidRDefault="006B7E0C" w:rsidP="006B7E0C">
            <w:pPr>
              <w:pStyle w:val="ListParagraph"/>
              <w:numPr>
                <w:ilvl w:val="0"/>
                <w:numId w:val="29"/>
              </w:numPr>
              <w:spacing w:after="120" w:line="260" w:lineRule="exact"/>
              <w:ind w:left="360"/>
              <w:rPr>
                <w:rFonts w:ascii="Arial" w:hAnsi="Arial" w:cs="Arial"/>
                <w:sz w:val="20"/>
                <w:szCs w:val="20"/>
              </w:rPr>
            </w:pPr>
            <w:r w:rsidRPr="006B7E0C">
              <w:rPr>
                <w:rFonts w:ascii="Arial" w:hAnsi="Arial" w:cs="Arial"/>
                <w:b/>
                <w:sz w:val="20"/>
                <w:szCs w:val="20"/>
              </w:rPr>
              <w:t>Employee:</w:t>
            </w:r>
            <w:r w:rsidRPr="006B7E0C">
              <w:rPr>
                <w:rFonts w:ascii="Arial" w:hAnsi="Arial" w:cs="Arial"/>
                <w:sz w:val="20"/>
                <w:szCs w:val="20"/>
              </w:rPr>
              <w:t xml:space="preserve"> UT Southwestern employee exposed to an infected person</w:t>
            </w:r>
          </w:p>
          <w:p w14:paraId="3B805C01" w14:textId="5D2A6E4E" w:rsidR="006B7E0C" w:rsidRPr="006B7E0C" w:rsidRDefault="006B7E0C" w:rsidP="006B7E0C">
            <w:pPr>
              <w:pStyle w:val="ListParagraph"/>
              <w:numPr>
                <w:ilvl w:val="0"/>
                <w:numId w:val="29"/>
              </w:numPr>
              <w:spacing w:after="120" w:line="260" w:lineRule="exact"/>
              <w:ind w:left="360"/>
              <w:rPr>
                <w:rFonts w:ascii="Arial" w:hAnsi="Arial" w:cs="Arial"/>
                <w:sz w:val="20"/>
                <w:szCs w:val="20"/>
              </w:rPr>
            </w:pPr>
            <w:r w:rsidRPr="006B7E0C">
              <w:rPr>
                <w:rFonts w:ascii="Arial" w:hAnsi="Arial" w:cs="Arial"/>
                <w:b/>
                <w:sz w:val="20"/>
                <w:szCs w:val="20"/>
              </w:rPr>
              <w:t>CDC:</w:t>
            </w:r>
            <w:r w:rsidRPr="006B7E0C">
              <w:rPr>
                <w:rFonts w:ascii="Arial" w:hAnsi="Arial" w:cs="Arial"/>
                <w:sz w:val="20"/>
                <w:szCs w:val="20"/>
              </w:rPr>
              <w:t xml:space="preserve"> Centers for Disease Control and Prevention </w:t>
            </w:r>
          </w:p>
          <w:p w14:paraId="465654E6" w14:textId="61B0F550" w:rsidR="006B7E0C" w:rsidRPr="006B7E0C" w:rsidRDefault="006B7E0C" w:rsidP="006B7E0C">
            <w:pPr>
              <w:pStyle w:val="ListParagraph"/>
              <w:numPr>
                <w:ilvl w:val="0"/>
                <w:numId w:val="29"/>
              </w:numPr>
              <w:spacing w:after="120" w:line="260" w:lineRule="exact"/>
              <w:ind w:left="360"/>
              <w:rPr>
                <w:rFonts w:ascii="Arial" w:hAnsi="Arial" w:cs="Arial"/>
                <w:sz w:val="20"/>
                <w:szCs w:val="20"/>
              </w:rPr>
            </w:pPr>
            <w:r w:rsidRPr="006B7E0C">
              <w:rPr>
                <w:rFonts w:ascii="Arial" w:hAnsi="Arial" w:cs="Arial"/>
                <w:b/>
                <w:sz w:val="20"/>
                <w:szCs w:val="20"/>
              </w:rPr>
              <w:t>Non-immune employee:</w:t>
            </w:r>
            <w:r w:rsidRPr="006B7E0C">
              <w:rPr>
                <w:rFonts w:ascii="Arial" w:hAnsi="Arial" w:cs="Arial"/>
                <w:sz w:val="20"/>
                <w:szCs w:val="20"/>
              </w:rPr>
              <w:t xml:space="preserve"> any employee who, due to vaccination status or titer levels, does not meet the CDC definition of immunity to a particular disease/illness.</w:t>
            </w:r>
          </w:p>
          <w:p w14:paraId="671DC219" w14:textId="35560AF0" w:rsidR="00B36E95" w:rsidRPr="006B7E0C" w:rsidRDefault="006B7E0C" w:rsidP="006B7E0C">
            <w:pPr>
              <w:pStyle w:val="ListParagraph"/>
              <w:numPr>
                <w:ilvl w:val="0"/>
                <w:numId w:val="31"/>
              </w:numPr>
              <w:spacing w:after="120" w:line="260" w:lineRule="exact"/>
              <w:ind w:left="360"/>
              <w:rPr>
                <w:rFonts w:ascii="Arial" w:hAnsi="Arial" w:cs="Arial"/>
                <w:sz w:val="20"/>
                <w:szCs w:val="20"/>
              </w:rPr>
            </w:pPr>
            <w:r w:rsidRPr="006B7E0C">
              <w:rPr>
                <w:rFonts w:ascii="Arial" w:hAnsi="Arial" w:cs="Arial"/>
                <w:b/>
                <w:sz w:val="20"/>
                <w:szCs w:val="20"/>
              </w:rPr>
              <w:t>Source:</w:t>
            </w:r>
            <w:r w:rsidRPr="006B7E0C">
              <w:rPr>
                <w:rFonts w:ascii="Arial" w:hAnsi="Arial" w:cs="Arial"/>
                <w:sz w:val="20"/>
                <w:szCs w:val="20"/>
              </w:rPr>
              <w:t xml:space="preserve"> a person who has been diagnosed with an infectious disease</w:t>
            </w:r>
          </w:p>
        </w:tc>
      </w:tr>
      <w:tr w:rsidR="0057791F" w14:paraId="671DC21C" w14:textId="77777777" w:rsidTr="0C1DA87D">
        <w:trPr>
          <w:trHeight w:val="288"/>
          <w:jc w:val="center"/>
        </w:trPr>
        <w:tc>
          <w:tcPr>
            <w:tcW w:w="10570" w:type="dxa"/>
            <w:gridSpan w:val="3"/>
            <w:shd w:val="clear" w:color="auto" w:fill="E1E1E1"/>
            <w:vAlign w:val="center"/>
          </w:tcPr>
          <w:p w14:paraId="671DC21B" w14:textId="77777777" w:rsidR="009F215D" w:rsidRPr="0062689B" w:rsidRDefault="00BC6F07" w:rsidP="000964C4">
            <w:pPr>
              <w:tabs>
                <w:tab w:val="left" w:pos="3180"/>
              </w:tabs>
              <w:spacing w:after="0" w:line="240" w:lineRule="auto"/>
              <w:rPr>
                <w:rFonts w:ascii="Arial" w:hAnsi="Arial" w:cs="Arial"/>
                <w:b/>
                <w:smallCaps/>
                <w:sz w:val="24"/>
                <w:szCs w:val="24"/>
              </w:rPr>
            </w:pPr>
            <w:r w:rsidRPr="0062689B">
              <w:rPr>
                <w:rFonts w:ascii="Arial" w:hAnsi="Arial" w:cs="Arial"/>
                <w:b/>
                <w:smallCaps/>
                <w:sz w:val="24"/>
                <w:szCs w:val="24"/>
              </w:rPr>
              <w:t xml:space="preserve">Previous Policy Manual Section and Number </w:t>
            </w:r>
          </w:p>
        </w:tc>
      </w:tr>
      <w:tr w:rsidR="0057791F" w14:paraId="671DC21E" w14:textId="77777777" w:rsidTr="0C1DA87D">
        <w:trPr>
          <w:trHeight w:val="288"/>
          <w:jc w:val="center"/>
        </w:trPr>
        <w:tc>
          <w:tcPr>
            <w:tcW w:w="10570" w:type="dxa"/>
            <w:gridSpan w:val="3"/>
            <w:vAlign w:val="center"/>
          </w:tcPr>
          <w:p w14:paraId="671DC21D" w14:textId="09A32B20" w:rsidR="000964C4" w:rsidRPr="0062689B" w:rsidRDefault="00325664" w:rsidP="00434B48">
            <w:pPr>
              <w:spacing w:after="120" w:line="260" w:lineRule="exact"/>
              <w:contextualSpacing/>
              <w:rPr>
                <w:rFonts w:ascii="Arial" w:hAnsi="Arial" w:cs="Arial"/>
                <w:sz w:val="20"/>
                <w:szCs w:val="20"/>
              </w:rPr>
            </w:pPr>
            <w:r>
              <w:rPr>
                <w:rFonts w:ascii="Arial" w:hAnsi="Arial" w:cs="Arial"/>
                <w:sz w:val="20"/>
                <w:szCs w:val="20"/>
              </w:rPr>
              <w:t>None</w:t>
            </w:r>
          </w:p>
        </w:tc>
      </w:tr>
      <w:tr w:rsidR="0057791F" w14:paraId="671DC220" w14:textId="77777777" w:rsidTr="0C1DA87D">
        <w:trPr>
          <w:trHeight w:val="288"/>
          <w:jc w:val="center"/>
        </w:trPr>
        <w:tc>
          <w:tcPr>
            <w:tcW w:w="10570" w:type="dxa"/>
            <w:gridSpan w:val="3"/>
            <w:shd w:val="clear" w:color="auto" w:fill="E1E1E1"/>
            <w:vAlign w:val="center"/>
          </w:tcPr>
          <w:p w14:paraId="671DC21F" w14:textId="77777777" w:rsidR="009F215D" w:rsidRPr="0062689B" w:rsidRDefault="00BC6F07" w:rsidP="00384B12">
            <w:pPr>
              <w:spacing w:after="0" w:line="240" w:lineRule="auto"/>
              <w:rPr>
                <w:rFonts w:ascii="Arial" w:hAnsi="Arial" w:cs="Arial"/>
                <w:smallCaps/>
                <w:sz w:val="24"/>
                <w:szCs w:val="24"/>
              </w:rPr>
            </w:pPr>
            <w:r w:rsidRPr="0062689B">
              <w:rPr>
                <w:rFonts w:ascii="Arial" w:hAnsi="Arial" w:cs="Arial"/>
                <w:b/>
                <w:smallCaps/>
                <w:sz w:val="24"/>
                <w:szCs w:val="24"/>
              </w:rPr>
              <w:t>Related Statutes, Other Policies, Requirements, or Standards</w:t>
            </w:r>
          </w:p>
        </w:tc>
      </w:tr>
      <w:tr w:rsidR="0057791F" w14:paraId="671DC222" w14:textId="77777777" w:rsidTr="0C1DA87D">
        <w:trPr>
          <w:trHeight w:val="288"/>
          <w:jc w:val="center"/>
        </w:trPr>
        <w:tc>
          <w:tcPr>
            <w:tcW w:w="10570" w:type="dxa"/>
            <w:gridSpan w:val="3"/>
            <w:vAlign w:val="center"/>
          </w:tcPr>
          <w:p w14:paraId="671DC221" w14:textId="77777777" w:rsidR="009F215D" w:rsidRPr="0062689B" w:rsidRDefault="00BC6F07" w:rsidP="00434B48">
            <w:pPr>
              <w:spacing w:after="120" w:line="260" w:lineRule="exact"/>
              <w:contextualSpacing/>
              <w:rPr>
                <w:rFonts w:ascii="Arial" w:hAnsi="Arial" w:cs="Arial"/>
                <w:sz w:val="20"/>
                <w:szCs w:val="20"/>
              </w:rPr>
            </w:pPr>
            <w:r w:rsidRPr="0062689B">
              <w:rPr>
                <w:rFonts w:ascii="Arial" w:hAnsi="Arial" w:cs="Arial"/>
                <w:sz w:val="20"/>
                <w:szCs w:val="20"/>
              </w:rPr>
              <w:t>If applicable</w:t>
            </w:r>
          </w:p>
        </w:tc>
      </w:tr>
      <w:tr w:rsidR="0057791F" w14:paraId="671DC224" w14:textId="77777777" w:rsidTr="0C1DA87D">
        <w:trPr>
          <w:trHeight w:val="288"/>
          <w:jc w:val="center"/>
        </w:trPr>
        <w:tc>
          <w:tcPr>
            <w:tcW w:w="10570" w:type="dxa"/>
            <w:gridSpan w:val="3"/>
            <w:shd w:val="clear" w:color="auto" w:fill="E1E1E1"/>
            <w:vAlign w:val="center"/>
          </w:tcPr>
          <w:p w14:paraId="671DC223" w14:textId="77777777" w:rsidR="009F215D" w:rsidRPr="0062689B" w:rsidRDefault="00BC6F07" w:rsidP="00384B12">
            <w:pPr>
              <w:spacing w:after="0" w:line="240" w:lineRule="auto"/>
              <w:rPr>
                <w:rFonts w:ascii="Arial" w:hAnsi="Arial" w:cs="Arial"/>
                <w:smallCaps/>
                <w:sz w:val="24"/>
                <w:szCs w:val="24"/>
              </w:rPr>
            </w:pPr>
            <w:r w:rsidRPr="0062689B">
              <w:rPr>
                <w:rFonts w:ascii="Arial" w:hAnsi="Arial" w:cs="Arial"/>
                <w:b/>
                <w:smallCaps/>
                <w:sz w:val="24"/>
                <w:szCs w:val="24"/>
              </w:rPr>
              <w:t>Contacts/For Further Information</w:t>
            </w:r>
          </w:p>
        </w:tc>
      </w:tr>
      <w:tr w:rsidR="00325664" w14:paraId="671DC226" w14:textId="77777777" w:rsidTr="0C1DA87D">
        <w:trPr>
          <w:trHeight w:val="288"/>
          <w:jc w:val="center"/>
        </w:trPr>
        <w:tc>
          <w:tcPr>
            <w:tcW w:w="10570" w:type="dxa"/>
            <w:gridSpan w:val="3"/>
            <w:vAlign w:val="center"/>
          </w:tcPr>
          <w:p w14:paraId="671DC225" w14:textId="1137C256" w:rsidR="00325664" w:rsidRPr="00DA2F83" w:rsidRDefault="00325664" w:rsidP="00325664">
            <w:pPr>
              <w:spacing w:after="120" w:line="260" w:lineRule="exact"/>
              <w:contextualSpacing/>
              <w:rPr>
                <w:rFonts w:ascii="Arial" w:hAnsi="Arial" w:cs="Arial"/>
                <w:sz w:val="20"/>
                <w:szCs w:val="20"/>
              </w:rPr>
            </w:pPr>
            <w:r w:rsidRPr="00DA2F83">
              <w:rPr>
                <w:rFonts w:ascii="Arial" w:hAnsi="Arial" w:cs="Arial"/>
                <w:color w:val="000000" w:themeColor="text1"/>
                <w:szCs w:val="20"/>
              </w:rPr>
              <w:t>Occupational Health 214-645-5300</w:t>
            </w:r>
          </w:p>
        </w:tc>
      </w:tr>
      <w:tr w:rsidR="0057791F" w14:paraId="671DC228" w14:textId="77777777" w:rsidTr="0C1DA87D">
        <w:trPr>
          <w:trHeight w:val="288"/>
          <w:jc w:val="center"/>
        </w:trPr>
        <w:tc>
          <w:tcPr>
            <w:tcW w:w="10570" w:type="dxa"/>
            <w:gridSpan w:val="3"/>
            <w:shd w:val="clear" w:color="auto" w:fill="E1E1E1"/>
            <w:vAlign w:val="center"/>
          </w:tcPr>
          <w:p w14:paraId="671DC227" w14:textId="77777777" w:rsidR="009F215D" w:rsidRPr="0062689B" w:rsidRDefault="00BC6F07" w:rsidP="00384B12">
            <w:pPr>
              <w:spacing w:after="0" w:line="240" w:lineRule="auto"/>
              <w:rPr>
                <w:rFonts w:ascii="Arial" w:hAnsi="Arial" w:cs="Arial"/>
                <w:b/>
                <w:smallCaps/>
                <w:sz w:val="24"/>
                <w:szCs w:val="24"/>
              </w:rPr>
            </w:pPr>
            <w:r w:rsidRPr="0062689B">
              <w:rPr>
                <w:rFonts w:ascii="Arial" w:hAnsi="Arial" w:cs="Arial"/>
                <w:b/>
                <w:smallCaps/>
                <w:sz w:val="24"/>
                <w:szCs w:val="24"/>
              </w:rPr>
              <w:t>Appendix</w:t>
            </w:r>
          </w:p>
        </w:tc>
      </w:tr>
      <w:tr w:rsidR="0057791F" w14:paraId="671DC22A" w14:textId="77777777" w:rsidTr="0C1DA87D">
        <w:trPr>
          <w:trHeight w:val="288"/>
          <w:jc w:val="center"/>
        </w:trPr>
        <w:tc>
          <w:tcPr>
            <w:tcW w:w="10570" w:type="dxa"/>
            <w:gridSpan w:val="3"/>
            <w:vAlign w:val="center"/>
          </w:tcPr>
          <w:p w14:paraId="671DC229" w14:textId="77777777" w:rsidR="004E189E" w:rsidRPr="0062689B" w:rsidRDefault="00BC6F07" w:rsidP="00434B48">
            <w:pPr>
              <w:spacing w:after="120" w:line="260" w:lineRule="exact"/>
              <w:rPr>
                <w:rFonts w:ascii="Arial" w:hAnsi="Arial" w:cs="Arial"/>
                <w:sz w:val="20"/>
                <w:szCs w:val="20"/>
              </w:rPr>
            </w:pPr>
            <w:r w:rsidRPr="0062689B">
              <w:rPr>
                <w:rFonts w:ascii="Arial" w:hAnsi="Arial" w:cs="Arial"/>
                <w:sz w:val="20"/>
                <w:szCs w:val="20"/>
              </w:rPr>
              <w:t>If applicable</w:t>
            </w:r>
          </w:p>
        </w:tc>
      </w:tr>
      <w:tr w:rsidR="0057791F" w14:paraId="671DC22C" w14:textId="77777777" w:rsidTr="0C1DA87D">
        <w:trPr>
          <w:trHeight w:val="288"/>
          <w:jc w:val="center"/>
        </w:trPr>
        <w:tc>
          <w:tcPr>
            <w:tcW w:w="10570" w:type="dxa"/>
            <w:gridSpan w:val="3"/>
            <w:shd w:val="clear" w:color="auto" w:fill="E1E1E1"/>
            <w:vAlign w:val="center"/>
          </w:tcPr>
          <w:p w14:paraId="671DC22B" w14:textId="77777777" w:rsidR="009F215D" w:rsidRPr="0062689B" w:rsidRDefault="00BC6F07" w:rsidP="00384B12">
            <w:pPr>
              <w:spacing w:after="0" w:line="240" w:lineRule="auto"/>
              <w:rPr>
                <w:rFonts w:ascii="Arial" w:hAnsi="Arial" w:cs="Arial"/>
                <w:b/>
                <w:smallCaps/>
                <w:sz w:val="24"/>
                <w:szCs w:val="24"/>
              </w:rPr>
            </w:pPr>
            <w:r w:rsidRPr="0062689B">
              <w:rPr>
                <w:rFonts w:ascii="Arial" w:hAnsi="Arial" w:cs="Arial"/>
                <w:b/>
                <w:smallCaps/>
                <w:sz w:val="24"/>
                <w:szCs w:val="24"/>
              </w:rPr>
              <w:lastRenderedPageBreak/>
              <w:t>Forms, Tools, Online Processes</w:t>
            </w:r>
          </w:p>
        </w:tc>
      </w:tr>
      <w:tr w:rsidR="0057791F" w14:paraId="671DC22E" w14:textId="77777777" w:rsidTr="0C1DA87D">
        <w:trPr>
          <w:trHeight w:val="288"/>
          <w:jc w:val="center"/>
        </w:trPr>
        <w:tc>
          <w:tcPr>
            <w:tcW w:w="10570" w:type="dxa"/>
            <w:gridSpan w:val="3"/>
            <w:vAlign w:val="center"/>
          </w:tcPr>
          <w:p w14:paraId="671DC22D" w14:textId="77777777" w:rsidR="004E189E" w:rsidRPr="0062689B" w:rsidRDefault="00BC6F07" w:rsidP="00434B48">
            <w:pPr>
              <w:spacing w:after="120" w:line="260" w:lineRule="exact"/>
              <w:rPr>
                <w:rFonts w:ascii="Arial" w:hAnsi="Arial" w:cs="Arial"/>
                <w:sz w:val="20"/>
                <w:szCs w:val="20"/>
              </w:rPr>
            </w:pPr>
            <w:r w:rsidRPr="0062689B">
              <w:rPr>
                <w:rFonts w:ascii="Arial" w:hAnsi="Arial" w:cs="Arial"/>
                <w:sz w:val="20"/>
                <w:szCs w:val="20"/>
              </w:rPr>
              <w:t>If applicable</w:t>
            </w:r>
          </w:p>
        </w:tc>
      </w:tr>
    </w:tbl>
    <w:p w14:paraId="671DC22F" w14:textId="77777777" w:rsidR="009F215D" w:rsidRDefault="009F215D"/>
    <w:sectPr w:rsidR="009F215D" w:rsidSect="00AA0BA8">
      <w:headerReference w:type="even" r:id="rId12"/>
      <w:headerReference w:type="default" r:id="rId13"/>
      <w:footerReference w:type="even" r:id="rId14"/>
      <w:footerReference w:type="default" r:id="rId15"/>
      <w:headerReference w:type="first" r:id="rId16"/>
      <w:footerReference w:type="first" r:id="rId17"/>
      <w:pgSz w:w="12240" w:h="15840"/>
      <w:pgMar w:top="720" w:right="1440" w:bottom="1080" w:left="1440" w:header="720"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2FDF1A" w14:textId="77777777" w:rsidR="00C443D4" w:rsidRDefault="00C443D4">
      <w:pPr>
        <w:spacing w:after="0" w:line="240" w:lineRule="auto"/>
      </w:pPr>
      <w:r>
        <w:separator/>
      </w:r>
    </w:p>
  </w:endnote>
  <w:endnote w:type="continuationSeparator" w:id="0">
    <w:p w14:paraId="760EB23F" w14:textId="77777777" w:rsidR="00C443D4" w:rsidRDefault="00C443D4">
      <w:pPr>
        <w:spacing w:after="0" w:line="240" w:lineRule="auto"/>
      </w:pPr>
      <w:r>
        <w:continuationSeparator/>
      </w:r>
    </w:p>
  </w:endnote>
  <w:endnote w:type="continuationNotice" w:id="1">
    <w:p w14:paraId="57C6C12B" w14:textId="77777777" w:rsidR="004F5F0E" w:rsidRDefault="004F5F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DC238" w14:textId="77777777" w:rsidR="00C443D4" w:rsidRDefault="00C443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6301981"/>
      <w:docPartObj>
        <w:docPartGallery w:val="Page Numbers (Bottom of Page)"/>
        <w:docPartUnique/>
      </w:docPartObj>
    </w:sdtPr>
    <w:sdtEndPr>
      <w:rPr>
        <w:rFonts w:ascii="Arial" w:hAnsi="Arial" w:cs="Arial"/>
        <w:sz w:val="20"/>
        <w:szCs w:val="20"/>
      </w:rPr>
    </w:sdtEndPr>
    <w:sdtContent>
      <w:sdt>
        <w:sdtPr>
          <w:rPr>
            <w:rFonts w:ascii="Arial" w:hAnsi="Arial" w:cs="Arial"/>
            <w:sz w:val="20"/>
            <w:szCs w:val="20"/>
          </w:rPr>
          <w:id w:val="-351181336"/>
          <w:docPartObj>
            <w:docPartGallery w:val="Page Numbers (Top of Page)"/>
            <w:docPartUnique/>
          </w:docPartObj>
        </w:sdtPr>
        <w:sdtEndPr/>
        <w:sdtContent>
          <w:p w14:paraId="671DC239" w14:textId="0A6A3B7C" w:rsidR="00C443D4" w:rsidRPr="005369A5" w:rsidRDefault="00C443D4" w:rsidP="007264BB">
            <w:pPr>
              <w:pStyle w:val="Footer"/>
              <w:spacing w:before="240"/>
              <w:ind w:left="1584" w:right="-288" w:firstLine="2160"/>
              <w:jc w:val="right"/>
              <w:rPr>
                <w:rFonts w:ascii="Arial" w:hAnsi="Arial" w:cs="Arial"/>
                <w:sz w:val="20"/>
                <w:szCs w:val="20"/>
              </w:rPr>
            </w:pPr>
            <w:r w:rsidRPr="005369A5">
              <w:rPr>
                <w:rFonts w:ascii="Arial" w:hAnsi="Arial" w:cs="Arial"/>
                <w:noProof/>
                <w:sz w:val="18"/>
                <w:szCs w:val="18"/>
              </w:rPr>
              <w:drawing>
                <wp:anchor distT="0" distB="0" distL="114300" distR="114300" simplePos="0" relativeHeight="251658240" behindDoc="1" locked="0" layoutInCell="1" allowOverlap="1" wp14:anchorId="671DC23F" wp14:editId="6805A7D4">
                  <wp:simplePos x="0" y="0"/>
                  <wp:positionH relativeFrom="column">
                    <wp:posOffset>-266700</wp:posOffset>
                  </wp:positionH>
                  <wp:positionV relativeFrom="paragraph">
                    <wp:posOffset>10160</wp:posOffset>
                  </wp:positionV>
                  <wp:extent cx="1883664" cy="457200"/>
                  <wp:effectExtent l="0" t="0" r="254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l="8711" t="20276" r="7198" b="15318"/>
                          <a:stretch>
                            <a:fillRect/>
                          </a:stretch>
                        </pic:blipFill>
                        <pic:spPr bwMode="auto">
                          <a:xfrm>
                            <a:off x="0" y="0"/>
                            <a:ext cx="1883664" cy="4572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369A5">
              <w:rPr>
                <w:rFonts w:ascii="Arial" w:hAnsi="Arial" w:cs="Arial"/>
                <w:sz w:val="18"/>
                <w:szCs w:val="18"/>
              </w:rPr>
              <w:t xml:space="preserve">Page </w:t>
            </w:r>
            <w:r w:rsidRPr="005369A5">
              <w:rPr>
                <w:rFonts w:ascii="Arial" w:hAnsi="Arial" w:cs="Arial"/>
                <w:b/>
                <w:bCs/>
                <w:sz w:val="18"/>
                <w:szCs w:val="18"/>
              </w:rPr>
              <w:fldChar w:fldCharType="begin"/>
            </w:r>
            <w:r w:rsidRPr="005369A5">
              <w:rPr>
                <w:rFonts w:ascii="Arial" w:hAnsi="Arial" w:cs="Arial"/>
                <w:b/>
                <w:bCs/>
                <w:sz w:val="18"/>
                <w:szCs w:val="18"/>
              </w:rPr>
              <w:instrText xml:space="preserve"> PAGE  </w:instrText>
            </w:r>
            <w:r w:rsidRPr="005369A5">
              <w:rPr>
                <w:rFonts w:ascii="Arial" w:hAnsi="Arial" w:cs="Arial"/>
                <w:b/>
                <w:bCs/>
                <w:sz w:val="18"/>
                <w:szCs w:val="18"/>
              </w:rPr>
              <w:fldChar w:fldCharType="separate"/>
            </w:r>
            <w:r w:rsidR="007F176D">
              <w:rPr>
                <w:rFonts w:ascii="Arial" w:hAnsi="Arial" w:cs="Arial"/>
                <w:b/>
                <w:bCs/>
                <w:noProof/>
                <w:sz w:val="18"/>
                <w:szCs w:val="18"/>
              </w:rPr>
              <w:t>1</w:t>
            </w:r>
            <w:r w:rsidRPr="005369A5">
              <w:rPr>
                <w:rFonts w:ascii="Arial" w:hAnsi="Arial" w:cs="Arial"/>
                <w:b/>
                <w:bCs/>
                <w:sz w:val="18"/>
                <w:szCs w:val="18"/>
              </w:rPr>
              <w:fldChar w:fldCharType="end"/>
            </w:r>
            <w:r w:rsidRPr="005369A5">
              <w:rPr>
                <w:rFonts w:ascii="Arial" w:hAnsi="Arial" w:cs="Arial"/>
                <w:sz w:val="18"/>
                <w:szCs w:val="18"/>
              </w:rPr>
              <w:t xml:space="preserve"> of </w:t>
            </w:r>
            <w:r w:rsidRPr="005369A5">
              <w:rPr>
                <w:rFonts w:ascii="Arial" w:hAnsi="Arial" w:cs="Arial"/>
                <w:b/>
                <w:bCs/>
                <w:sz w:val="18"/>
                <w:szCs w:val="18"/>
              </w:rPr>
              <w:fldChar w:fldCharType="begin"/>
            </w:r>
            <w:r w:rsidRPr="005369A5">
              <w:rPr>
                <w:rFonts w:ascii="Arial" w:hAnsi="Arial" w:cs="Arial"/>
                <w:b/>
                <w:bCs/>
                <w:sz w:val="18"/>
                <w:szCs w:val="18"/>
              </w:rPr>
              <w:instrText xml:space="preserve"> SECTIONPAGES  </w:instrText>
            </w:r>
            <w:r w:rsidRPr="005369A5">
              <w:rPr>
                <w:rFonts w:ascii="Arial" w:hAnsi="Arial" w:cs="Arial"/>
                <w:b/>
                <w:bCs/>
                <w:sz w:val="18"/>
                <w:szCs w:val="18"/>
              </w:rPr>
              <w:fldChar w:fldCharType="separate"/>
            </w:r>
            <w:r w:rsidR="00113DC6">
              <w:rPr>
                <w:rFonts w:ascii="Arial" w:hAnsi="Arial" w:cs="Arial"/>
                <w:b/>
                <w:bCs/>
                <w:noProof/>
                <w:sz w:val="18"/>
                <w:szCs w:val="18"/>
              </w:rPr>
              <w:t>7</w:t>
            </w:r>
            <w:r w:rsidRPr="005369A5">
              <w:rPr>
                <w:rFonts w:ascii="Arial" w:hAnsi="Arial" w:cs="Arial"/>
                <w:b/>
                <w:bCs/>
                <w:sz w:val="18"/>
                <w:szCs w:val="18"/>
              </w:rPr>
              <w:fldChar w:fldCharType="end"/>
            </w:r>
          </w:p>
        </w:sdtContent>
      </w:sdt>
    </w:sdtContent>
  </w:sdt>
  <w:p w14:paraId="671DC23A" w14:textId="6F8CFE80" w:rsidR="00C443D4" w:rsidRPr="005369A5" w:rsidRDefault="665D8D5B" w:rsidP="007264BB">
    <w:pPr>
      <w:spacing w:after="0" w:line="240" w:lineRule="auto"/>
      <w:ind w:left="-360" w:right="-288"/>
      <w:jc w:val="right"/>
      <w:rPr>
        <w:rFonts w:ascii="Arial" w:hAnsi="Arial" w:cs="Arial"/>
        <w:sz w:val="18"/>
        <w:szCs w:val="18"/>
      </w:rPr>
    </w:pPr>
    <w:r w:rsidRPr="665D8D5B">
      <w:rPr>
        <w:rFonts w:ascii="Arial" w:hAnsi="Arial" w:cs="Arial"/>
        <w:sz w:val="18"/>
        <w:szCs w:val="18"/>
      </w:rPr>
      <w:t>Policy 3.03</w:t>
    </w:r>
  </w:p>
  <w:p w14:paraId="671DC23B" w14:textId="77777777" w:rsidR="00C443D4" w:rsidRDefault="00C443D4" w:rsidP="007264BB">
    <w:pPr>
      <w:spacing w:after="0" w:line="240" w:lineRule="auto"/>
      <w:ind w:left="-720" w:right="288" w:firstLine="360"/>
      <w:rPr>
        <w:rFonts w:ascii="Arial" w:hAnsi="Arial" w:cs="Arial"/>
        <w:sz w:val="16"/>
        <w:szCs w:val="16"/>
      </w:rPr>
    </w:pPr>
    <w:r w:rsidRPr="005C68BC">
      <w:rPr>
        <w:rFonts w:cs="Calibri"/>
        <w:sz w:val="16"/>
        <w:szCs w:val="16"/>
      </w:rPr>
      <w:t>©</w:t>
    </w:r>
    <w:r w:rsidRPr="005369A5">
      <w:rPr>
        <w:rFonts w:ascii="Arial" w:hAnsi="Arial" w:cs="Arial"/>
        <w:sz w:val="16"/>
        <w:szCs w:val="16"/>
      </w:rPr>
      <w:t>201</w:t>
    </w:r>
    <w:r>
      <w:rPr>
        <w:rFonts w:ascii="Arial" w:hAnsi="Arial" w:cs="Arial"/>
        <w:sz w:val="16"/>
        <w:szCs w:val="16"/>
      </w:rPr>
      <w:t>9</w:t>
    </w:r>
    <w:r w:rsidRPr="005369A5">
      <w:rPr>
        <w:rFonts w:ascii="Arial" w:hAnsi="Arial" w:cs="Arial"/>
        <w:sz w:val="16"/>
        <w:szCs w:val="16"/>
      </w:rPr>
      <w:t xml:space="preserve"> UTSW </w:t>
    </w:r>
    <w:r w:rsidRPr="005369A5">
      <w:rPr>
        <w:rFonts w:ascii="Arial" w:hAnsi="Arial" w:cs="Arial"/>
        <w:i/>
        <w:sz w:val="16"/>
        <w:szCs w:val="16"/>
      </w:rPr>
      <w:t>Ambulatory Policy Manual</w:t>
    </w:r>
  </w:p>
  <w:p w14:paraId="671DC23C" w14:textId="77777777" w:rsidR="00C443D4" w:rsidRPr="00AA0BA8" w:rsidRDefault="00C443D4" w:rsidP="00A61621">
    <w:pPr>
      <w:jc w:val="center"/>
      <w:rPr>
        <w:sz w:val="16"/>
        <w:szCs w:val="16"/>
      </w:rPr>
    </w:pPr>
    <w:r>
      <w:rPr>
        <w:b/>
        <w:bCs/>
      </w:rPr>
      <w:t>PRINTED POLICIES MAY HAVE BEEN UPDATED – ALWAYS VIEW CURRENT VERSIONS ONLINE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DC23E" w14:textId="77777777" w:rsidR="00C443D4" w:rsidRDefault="00C443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F63844" w14:textId="77777777" w:rsidR="00C443D4" w:rsidRDefault="00C443D4">
      <w:pPr>
        <w:spacing w:after="0" w:line="240" w:lineRule="auto"/>
      </w:pPr>
      <w:r>
        <w:separator/>
      </w:r>
    </w:p>
  </w:footnote>
  <w:footnote w:type="continuationSeparator" w:id="0">
    <w:p w14:paraId="469500F2" w14:textId="77777777" w:rsidR="00C443D4" w:rsidRDefault="00C443D4">
      <w:pPr>
        <w:spacing w:after="0" w:line="240" w:lineRule="auto"/>
      </w:pPr>
      <w:r>
        <w:continuationSeparator/>
      </w:r>
    </w:p>
  </w:footnote>
  <w:footnote w:type="continuationNotice" w:id="1">
    <w:p w14:paraId="02BF015E" w14:textId="77777777" w:rsidR="004F5F0E" w:rsidRDefault="004F5F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DC236" w14:textId="77777777" w:rsidR="00C443D4" w:rsidRDefault="00C443D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DC237" w14:textId="77777777" w:rsidR="00C443D4" w:rsidRDefault="00C443D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DC23D" w14:textId="77777777" w:rsidR="00C443D4" w:rsidRDefault="00C443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A05A8"/>
    <w:multiLevelType w:val="hybridMultilevel"/>
    <w:tmpl w:val="6650601E"/>
    <w:lvl w:ilvl="0" w:tplc="921E2BD4">
      <w:start w:val="1"/>
      <w:numFmt w:val="decimal"/>
      <w:lvlText w:val="%1."/>
      <w:lvlJc w:val="left"/>
      <w:pPr>
        <w:tabs>
          <w:tab w:val="num" w:pos="720"/>
        </w:tabs>
        <w:ind w:left="720" w:hanging="360"/>
      </w:pPr>
      <w:rPr>
        <w:rFonts w:hint="default"/>
      </w:rPr>
    </w:lvl>
    <w:lvl w:ilvl="1" w:tplc="C25E36D6" w:tentative="1">
      <w:start w:val="1"/>
      <w:numFmt w:val="lowerLetter"/>
      <w:lvlText w:val="%2."/>
      <w:lvlJc w:val="left"/>
      <w:pPr>
        <w:tabs>
          <w:tab w:val="num" w:pos="1800"/>
        </w:tabs>
        <w:ind w:left="1800" w:hanging="360"/>
      </w:pPr>
    </w:lvl>
    <w:lvl w:ilvl="2" w:tplc="1F8EF054" w:tentative="1">
      <w:start w:val="1"/>
      <w:numFmt w:val="lowerRoman"/>
      <w:lvlText w:val="%3."/>
      <w:lvlJc w:val="right"/>
      <w:pPr>
        <w:tabs>
          <w:tab w:val="num" w:pos="2520"/>
        </w:tabs>
        <w:ind w:left="2520" w:hanging="180"/>
      </w:pPr>
    </w:lvl>
    <w:lvl w:ilvl="3" w:tplc="653C0C68" w:tentative="1">
      <w:start w:val="1"/>
      <w:numFmt w:val="decimal"/>
      <w:lvlText w:val="%4."/>
      <w:lvlJc w:val="left"/>
      <w:pPr>
        <w:tabs>
          <w:tab w:val="num" w:pos="3240"/>
        </w:tabs>
        <w:ind w:left="3240" w:hanging="360"/>
      </w:pPr>
    </w:lvl>
    <w:lvl w:ilvl="4" w:tplc="4830B806" w:tentative="1">
      <w:start w:val="1"/>
      <w:numFmt w:val="lowerLetter"/>
      <w:lvlText w:val="%5."/>
      <w:lvlJc w:val="left"/>
      <w:pPr>
        <w:tabs>
          <w:tab w:val="num" w:pos="3960"/>
        </w:tabs>
        <w:ind w:left="3960" w:hanging="360"/>
      </w:pPr>
    </w:lvl>
    <w:lvl w:ilvl="5" w:tplc="5ACE0FBA" w:tentative="1">
      <w:start w:val="1"/>
      <w:numFmt w:val="lowerRoman"/>
      <w:lvlText w:val="%6."/>
      <w:lvlJc w:val="right"/>
      <w:pPr>
        <w:tabs>
          <w:tab w:val="num" w:pos="4680"/>
        </w:tabs>
        <w:ind w:left="4680" w:hanging="180"/>
      </w:pPr>
    </w:lvl>
    <w:lvl w:ilvl="6" w:tplc="9168B7A0" w:tentative="1">
      <w:start w:val="1"/>
      <w:numFmt w:val="decimal"/>
      <w:lvlText w:val="%7."/>
      <w:lvlJc w:val="left"/>
      <w:pPr>
        <w:tabs>
          <w:tab w:val="num" w:pos="5400"/>
        </w:tabs>
        <w:ind w:left="5400" w:hanging="360"/>
      </w:pPr>
    </w:lvl>
    <w:lvl w:ilvl="7" w:tplc="2ADA4B74" w:tentative="1">
      <w:start w:val="1"/>
      <w:numFmt w:val="lowerLetter"/>
      <w:lvlText w:val="%8."/>
      <w:lvlJc w:val="left"/>
      <w:pPr>
        <w:tabs>
          <w:tab w:val="num" w:pos="6120"/>
        </w:tabs>
        <w:ind w:left="6120" w:hanging="360"/>
      </w:pPr>
    </w:lvl>
    <w:lvl w:ilvl="8" w:tplc="0EDC7D3C" w:tentative="1">
      <w:start w:val="1"/>
      <w:numFmt w:val="lowerRoman"/>
      <w:lvlText w:val="%9."/>
      <w:lvlJc w:val="right"/>
      <w:pPr>
        <w:tabs>
          <w:tab w:val="num" w:pos="6840"/>
        </w:tabs>
        <w:ind w:left="6840" w:hanging="180"/>
      </w:pPr>
    </w:lvl>
  </w:abstractNum>
  <w:abstractNum w:abstractNumId="1" w15:restartNumberingAfterBreak="0">
    <w:nsid w:val="03B27E16"/>
    <w:multiLevelType w:val="hybridMultilevel"/>
    <w:tmpl w:val="C19632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07724"/>
    <w:multiLevelType w:val="hybridMultilevel"/>
    <w:tmpl w:val="92147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535114"/>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175808"/>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80006D"/>
    <w:multiLevelType w:val="hybridMultilevel"/>
    <w:tmpl w:val="29F634D8"/>
    <w:lvl w:ilvl="0" w:tplc="4150077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53745D"/>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52A71"/>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0C7C41"/>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2F3D15"/>
    <w:multiLevelType w:val="hybridMultilevel"/>
    <w:tmpl w:val="42FC21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11746C"/>
    <w:multiLevelType w:val="hybridMultilevel"/>
    <w:tmpl w:val="837CB4EA"/>
    <w:lvl w:ilvl="0" w:tplc="4150077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587453"/>
    <w:multiLevelType w:val="hybridMultilevel"/>
    <w:tmpl w:val="92F8A4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AF75AD2"/>
    <w:multiLevelType w:val="hybridMultilevel"/>
    <w:tmpl w:val="DCF2CDA0"/>
    <w:lvl w:ilvl="0" w:tplc="4150077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BC6DF1"/>
    <w:multiLevelType w:val="hybridMultilevel"/>
    <w:tmpl w:val="2F566F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1440E4"/>
    <w:multiLevelType w:val="hybridMultilevel"/>
    <w:tmpl w:val="4956C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190B31"/>
    <w:multiLevelType w:val="hybridMultilevel"/>
    <w:tmpl w:val="6CCC4582"/>
    <w:lvl w:ilvl="0" w:tplc="F6581BDC">
      <w:start w:val="1"/>
      <w:numFmt w:val="decimal"/>
      <w:lvlText w:val="%1."/>
      <w:lvlJc w:val="left"/>
      <w:pPr>
        <w:ind w:left="720" w:hanging="360"/>
      </w:pPr>
    </w:lvl>
    <w:lvl w:ilvl="1" w:tplc="1AA2FD58" w:tentative="1">
      <w:start w:val="1"/>
      <w:numFmt w:val="lowerLetter"/>
      <w:lvlText w:val="%2."/>
      <w:lvlJc w:val="left"/>
      <w:pPr>
        <w:ind w:left="1440" w:hanging="360"/>
      </w:pPr>
    </w:lvl>
    <w:lvl w:ilvl="2" w:tplc="C36EDC70" w:tentative="1">
      <w:start w:val="1"/>
      <w:numFmt w:val="lowerRoman"/>
      <w:lvlText w:val="%3."/>
      <w:lvlJc w:val="right"/>
      <w:pPr>
        <w:ind w:left="2160" w:hanging="180"/>
      </w:pPr>
    </w:lvl>
    <w:lvl w:ilvl="3" w:tplc="4BB49D56" w:tentative="1">
      <w:start w:val="1"/>
      <w:numFmt w:val="decimal"/>
      <w:lvlText w:val="%4."/>
      <w:lvlJc w:val="left"/>
      <w:pPr>
        <w:ind w:left="2880" w:hanging="360"/>
      </w:pPr>
    </w:lvl>
    <w:lvl w:ilvl="4" w:tplc="7F600504" w:tentative="1">
      <w:start w:val="1"/>
      <w:numFmt w:val="lowerLetter"/>
      <w:lvlText w:val="%5."/>
      <w:lvlJc w:val="left"/>
      <w:pPr>
        <w:ind w:left="3600" w:hanging="360"/>
      </w:pPr>
    </w:lvl>
    <w:lvl w:ilvl="5" w:tplc="E8DABB88" w:tentative="1">
      <w:start w:val="1"/>
      <w:numFmt w:val="lowerRoman"/>
      <w:lvlText w:val="%6."/>
      <w:lvlJc w:val="right"/>
      <w:pPr>
        <w:ind w:left="4320" w:hanging="180"/>
      </w:pPr>
    </w:lvl>
    <w:lvl w:ilvl="6" w:tplc="C6C28932" w:tentative="1">
      <w:start w:val="1"/>
      <w:numFmt w:val="decimal"/>
      <w:lvlText w:val="%7."/>
      <w:lvlJc w:val="left"/>
      <w:pPr>
        <w:ind w:left="5040" w:hanging="360"/>
      </w:pPr>
    </w:lvl>
    <w:lvl w:ilvl="7" w:tplc="E61A2748" w:tentative="1">
      <w:start w:val="1"/>
      <w:numFmt w:val="lowerLetter"/>
      <w:lvlText w:val="%8."/>
      <w:lvlJc w:val="left"/>
      <w:pPr>
        <w:ind w:left="5760" w:hanging="360"/>
      </w:pPr>
    </w:lvl>
    <w:lvl w:ilvl="8" w:tplc="73A4FF42" w:tentative="1">
      <w:start w:val="1"/>
      <w:numFmt w:val="lowerRoman"/>
      <w:lvlText w:val="%9."/>
      <w:lvlJc w:val="right"/>
      <w:pPr>
        <w:ind w:left="6480" w:hanging="180"/>
      </w:pPr>
    </w:lvl>
  </w:abstractNum>
  <w:abstractNum w:abstractNumId="16" w15:restartNumberingAfterBreak="0">
    <w:nsid w:val="50FF1264"/>
    <w:multiLevelType w:val="hybridMultilevel"/>
    <w:tmpl w:val="8634DF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5875512"/>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592140A"/>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A4F4A18"/>
    <w:multiLevelType w:val="hybridMultilevel"/>
    <w:tmpl w:val="80E8D7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374028"/>
    <w:multiLevelType w:val="singleLevel"/>
    <w:tmpl w:val="04090005"/>
    <w:lvl w:ilvl="0">
      <w:start w:val="1"/>
      <w:numFmt w:val="bullet"/>
      <w:lvlText w:val=""/>
      <w:lvlJc w:val="left"/>
      <w:pPr>
        <w:ind w:left="360" w:hanging="360"/>
      </w:pPr>
      <w:rPr>
        <w:rFonts w:ascii="Wingdings" w:hAnsi="Wingdings" w:hint="default"/>
      </w:rPr>
    </w:lvl>
  </w:abstractNum>
  <w:abstractNum w:abstractNumId="21" w15:restartNumberingAfterBreak="0">
    <w:nsid w:val="65984B6D"/>
    <w:multiLevelType w:val="hybridMultilevel"/>
    <w:tmpl w:val="E4B0C10C"/>
    <w:lvl w:ilvl="0" w:tplc="1D5A5E16">
      <w:start w:val="1"/>
      <w:numFmt w:val="bullet"/>
      <w:lvlText w:val=""/>
      <w:lvlJc w:val="left"/>
      <w:pPr>
        <w:ind w:left="360" w:hanging="360"/>
      </w:pPr>
      <w:rPr>
        <w:rFonts w:ascii="Wingdings" w:hAnsi="Wingdings" w:hint="default"/>
      </w:rPr>
    </w:lvl>
    <w:lvl w:ilvl="1" w:tplc="010A19E8" w:tentative="1">
      <w:start w:val="1"/>
      <w:numFmt w:val="lowerLetter"/>
      <w:lvlText w:val="%2."/>
      <w:lvlJc w:val="left"/>
      <w:pPr>
        <w:ind w:left="1080" w:hanging="360"/>
      </w:pPr>
    </w:lvl>
    <w:lvl w:ilvl="2" w:tplc="5BB242E2" w:tentative="1">
      <w:start w:val="1"/>
      <w:numFmt w:val="lowerRoman"/>
      <w:lvlText w:val="%3."/>
      <w:lvlJc w:val="right"/>
      <w:pPr>
        <w:ind w:left="1800" w:hanging="180"/>
      </w:pPr>
    </w:lvl>
    <w:lvl w:ilvl="3" w:tplc="5F940A30" w:tentative="1">
      <w:start w:val="1"/>
      <w:numFmt w:val="decimal"/>
      <w:lvlText w:val="%4."/>
      <w:lvlJc w:val="left"/>
      <w:pPr>
        <w:ind w:left="2520" w:hanging="360"/>
      </w:pPr>
    </w:lvl>
    <w:lvl w:ilvl="4" w:tplc="29447ABC" w:tentative="1">
      <w:start w:val="1"/>
      <w:numFmt w:val="lowerLetter"/>
      <w:lvlText w:val="%5."/>
      <w:lvlJc w:val="left"/>
      <w:pPr>
        <w:ind w:left="3240" w:hanging="360"/>
      </w:pPr>
    </w:lvl>
    <w:lvl w:ilvl="5" w:tplc="08FC225E" w:tentative="1">
      <w:start w:val="1"/>
      <w:numFmt w:val="lowerRoman"/>
      <w:lvlText w:val="%6."/>
      <w:lvlJc w:val="right"/>
      <w:pPr>
        <w:ind w:left="3960" w:hanging="180"/>
      </w:pPr>
    </w:lvl>
    <w:lvl w:ilvl="6" w:tplc="E8DAB6C8" w:tentative="1">
      <w:start w:val="1"/>
      <w:numFmt w:val="decimal"/>
      <w:lvlText w:val="%7."/>
      <w:lvlJc w:val="left"/>
      <w:pPr>
        <w:ind w:left="4680" w:hanging="360"/>
      </w:pPr>
    </w:lvl>
    <w:lvl w:ilvl="7" w:tplc="B204D47C" w:tentative="1">
      <w:start w:val="1"/>
      <w:numFmt w:val="lowerLetter"/>
      <w:lvlText w:val="%8."/>
      <w:lvlJc w:val="left"/>
      <w:pPr>
        <w:ind w:left="5400" w:hanging="360"/>
      </w:pPr>
    </w:lvl>
    <w:lvl w:ilvl="8" w:tplc="3DC628EE" w:tentative="1">
      <w:start w:val="1"/>
      <w:numFmt w:val="lowerRoman"/>
      <w:lvlText w:val="%9."/>
      <w:lvlJc w:val="right"/>
      <w:pPr>
        <w:ind w:left="6120" w:hanging="180"/>
      </w:pPr>
    </w:lvl>
  </w:abstractNum>
  <w:abstractNum w:abstractNumId="22" w15:restartNumberingAfterBreak="0">
    <w:nsid w:val="665B0A1E"/>
    <w:multiLevelType w:val="hybridMultilevel"/>
    <w:tmpl w:val="D6089D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000B96"/>
    <w:multiLevelType w:val="hybridMultilevel"/>
    <w:tmpl w:val="58703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9B3DFE"/>
    <w:multiLevelType w:val="hybridMultilevel"/>
    <w:tmpl w:val="2C9E0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996120"/>
    <w:multiLevelType w:val="hybridMultilevel"/>
    <w:tmpl w:val="AEAEE5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6F1893"/>
    <w:multiLevelType w:val="hybridMultilevel"/>
    <w:tmpl w:val="2C9E0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1885178"/>
    <w:multiLevelType w:val="hybridMultilevel"/>
    <w:tmpl w:val="D8C0F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3A6178"/>
    <w:multiLevelType w:val="hybridMultilevel"/>
    <w:tmpl w:val="C568BC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5025F6"/>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05267C"/>
    <w:multiLevelType w:val="hybridMultilevel"/>
    <w:tmpl w:val="23FA7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9477739">
    <w:abstractNumId w:val="21"/>
  </w:num>
  <w:num w:numId="2" w16cid:durableId="1771268420">
    <w:abstractNumId w:val="15"/>
  </w:num>
  <w:num w:numId="3" w16cid:durableId="824784696">
    <w:abstractNumId w:val="20"/>
  </w:num>
  <w:num w:numId="4" w16cid:durableId="1754858793">
    <w:abstractNumId w:val="0"/>
  </w:num>
  <w:num w:numId="5" w16cid:durableId="1507793046">
    <w:abstractNumId w:val="29"/>
  </w:num>
  <w:num w:numId="6" w16cid:durableId="1186747852">
    <w:abstractNumId w:val="4"/>
  </w:num>
  <w:num w:numId="7" w16cid:durableId="1146976485">
    <w:abstractNumId w:val="8"/>
  </w:num>
  <w:num w:numId="8" w16cid:durableId="969437274">
    <w:abstractNumId w:val="3"/>
  </w:num>
  <w:num w:numId="9" w16cid:durableId="260453900">
    <w:abstractNumId w:val="7"/>
  </w:num>
  <w:num w:numId="10" w16cid:durableId="1248463635">
    <w:abstractNumId w:val="18"/>
  </w:num>
  <w:num w:numId="11" w16cid:durableId="466556326">
    <w:abstractNumId w:val="17"/>
  </w:num>
  <w:num w:numId="12" w16cid:durableId="694382000">
    <w:abstractNumId w:val="30"/>
  </w:num>
  <w:num w:numId="13" w16cid:durableId="387806038">
    <w:abstractNumId w:val="6"/>
  </w:num>
  <w:num w:numId="14" w16cid:durableId="429594709">
    <w:abstractNumId w:val="11"/>
  </w:num>
  <w:num w:numId="15" w16cid:durableId="760950694">
    <w:abstractNumId w:val="1"/>
  </w:num>
  <w:num w:numId="16" w16cid:durableId="767777582">
    <w:abstractNumId w:val="27"/>
  </w:num>
  <w:num w:numId="17" w16cid:durableId="846554160">
    <w:abstractNumId w:val="16"/>
  </w:num>
  <w:num w:numId="18" w16cid:durableId="2016571416">
    <w:abstractNumId w:val="19"/>
  </w:num>
  <w:num w:numId="19" w16cid:durableId="1827160821">
    <w:abstractNumId w:val="9"/>
  </w:num>
  <w:num w:numId="20" w16cid:durableId="1532568293">
    <w:abstractNumId w:val="22"/>
  </w:num>
  <w:num w:numId="21" w16cid:durableId="717709799">
    <w:abstractNumId w:val="25"/>
  </w:num>
  <w:num w:numId="22" w16cid:durableId="55006941">
    <w:abstractNumId w:val="28"/>
  </w:num>
  <w:num w:numId="23" w16cid:durableId="1032802215">
    <w:abstractNumId w:val="2"/>
  </w:num>
  <w:num w:numId="24" w16cid:durableId="1457405549">
    <w:abstractNumId w:val="13"/>
  </w:num>
  <w:num w:numId="25" w16cid:durableId="1839618894">
    <w:abstractNumId w:val="14"/>
  </w:num>
  <w:num w:numId="26" w16cid:durableId="1944336790">
    <w:abstractNumId w:val="24"/>
  </w:num>
  <w:num w:numId="27" w16cid:durableId="234239449">
    <w:abstractNumId w:val="26"/>
  </w:num>
  <w:num w:numId="28" w16cid:durableId="2069181881">
    <w:abstractNumId w:val="23"/>
  </w:num>
  <w:num w:numId="29" w16cid:durableId="1799030752">
    <w:abstractNumId w:val="10"/>
  </w:num>
  <w:num w:numId="30" w16cid:durableId="1167860447">
    <w:abstractNumId w:val="5"/>
  </w:num>
  <w:num w:numId="31" w16cid:durableId="81842006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ument title" w:val="Blank Policy Template"/>
    <w:docVar w:name="effective date" w:val="Not Approved Yet"/>
    <w:docVar w:name="last periodic review date" w:val="No Review Date"/>
    <w:docVar w:name="next periodic review date" w:val="No Review Date"/>
  </w:docVars>
  <w:rsids>
    <w:rsidRoot w:val="00AD6A77"/>
    <w:rsid w:val="000026AF"/>
    <w:rsid w:val="00023188"/>
    <w:rsid w:val="000964C4"/>
    <w:rsid w:val="000A25C6"/>
    <w:rsid w:val="00113DC6"/>
    <w:rsid w:val="00165360"/>
    <w:rsid w:val="00176561"/>
    <w:rsid w:val="001910D5"/>
    <w:rsid w:val="00271665"/>
    <w:rsid w:val="002D233B"/>
    <w:rsid w:val="00315274"/>
    <w:rsid w:val="00325664"/>
    <w:rsid w:val="00384B12"/>
    <w:rsid w:val="00391F8E"/>
    <w:rsid w:val="00434B48"/>
    <w:rsid w:val="004E189E"/>
    <w:rsid w:val="004F5F0E"/>
    <w:rsid w:val="005369A5"/>
    <w:rsid w:val="0057791F"/>
    <w:rsid w:val="005C68BC"/>
    <w:rsid w:val="00606F61"/>
    <w:rsid w:val="0062689B"/>
    <w:rsid w:val="006B50E0"/>
    <w:rsid w:val="006B7E0C"/>
    <w:rsid w:val="007264BB"/>
    <w:rsid w:val="00777945"/>
    <w:rsid w:val="007C0EC8"/>
    <w:rsid w:val="007C7ABC"/>
    <w:rsid w:val="007D7178"/>
    <w:rsid w:val="007F176D"/>
    <w:rsid w:val="0081276C"/>
    <w:rsid w:val="009003DA"/>
    <w:rsid w:val="009053C9"/>
    <w:rsid w:val="009F215D"/>
    <w:rsid w:val="009F3C26"/>
    <w:rsid w:val="009F5FE2"/>
    <w:rsid w:val="00A429A0"/>
    <w:rsid w:val="00A61621"/>
    <w:rsid w:val="00A81561"/>
    <w:rsid w:val="00AA0BA8"/>
    <w:rsid w:val="00AD6A77"/>
    <w:rsid w:val="00B04C13"/>
    <w:rsid w:val="00B27E67"/>
    <w:rsid w:val="00B36E95"/>
    <w:rsid w:val="00B47215"/>
    <w:rsid w:val="00B630B6"/>
    <w:rsid w:val="00B74084"/>
    <w:rsid w:val="00BC6F07"/>
    <w:rsid w:val="00BF03C1"/>
    <w:rsid w:val="00C443D4"/>
    <w:rsid w:val="00CC2920"/>
    <w:rsid w:val="00D306BC"/>
    <w:rsid w:val="00D97ABA"/>
    <w:rsid w:val="00DA2F83"/>
    <w:rsid w:val="00EC61E6"/>
    <w:rsid w:val="00EC6796"/>
    <w:rsid w:val="00EE61D6"/>
    <w:rsid w:val="00F1546B"/>
    <w:rsid w:val="00F85671"/>
    <w:rsid w:val="082D5345"/>
    <w:rsid w:val="0C1DA87D"/>
    <w:rsid w:val="320C56A0"/>
    <w:rsid w:val="32B91E74"/>
    <w:rsid w:val="438F5A77"/>
    <w:rsid w:val="665D8D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1DC1EA"/>
  <w15:docId w15:val="{F6E1E9D4-AA4E-47A1-8102-B0D4A1AD2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9F215D"/>
    <w:rPr>
      <w:color w:val="0000FF"/>
      <w:u w:val="single"/>
    </w:rPr>
  </w:style>
  <w:style w:type="paragraph" w:styleId="Header">
    <w:name w:val="header"/>
    <w:basedOn w:val="Normal"/>
    <w:link w:val="HeaderChar"/>
    <w:uiPriority w:val="99"/>
    <w:unhideWhenUsed/>
    <w:rsid w:val="009F21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215D"/>
  </w:style>
  <w:style w:type="paragraph" w:styleId="Footer">
    <w:name w:val="footer"/>
    <w:basedOn w:val="Normal"/>
    <w:link w:val="FooterChar"/>
    <w:uiPriority w:val="99"/>
    <w:unhideWhenUsed/>
    <w:rsid w:val="009F21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215D"/>
  </w:style>
  <w:style w:type="paragraph" w:styleId="BalloonText">
    <w:name w:val="Balloon Text"/>
    <w:basedOn w:val="Normal"/>
    <w:link w:val="BalloonTextChar"/>
    <w:uiPriority w:val="99"/>
    <w:semiHidden/>
    <w:unhideWhenUsed/>
    <w:rsid w:val="009F21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215D"/>
    <w:rPr>
      <w:rFonts w:ascii="Tahoma" w:hAnsi="Tahoma" w:cs="Tahoma"/>
      <w:sz w:val="16"/>
      <w:szCs w:val="16"/>
    </w:rPr>
  </w:style>
  <w:style w:type="character" w:styleId="Emphasis">
    <w:name w:val="Emphasis"/>
    <w:qFormat/>
    <w:rsid w:val="009F215D"/>
    <w:rPr>
      <w:rFonts w:cs="Times New Roman"/>
    </w:rPr>
  </w:style>
  <w:style w:type="table" w:customStyle="1" w:styleId="TableGrid1">
    <w:name w:val="Table Grid1"/>
    <w:basedOn w:val="TableNormal"/>
    <w:uiPriority w:val="59"/>
    <w:rsid w:val="009F215D"/>
    <w:pPr>
      <w:spacing w:after="0" w:line="240" w:lineRule="auto"/>
    </w:pPr>
    <w:rPr>
      <w:rFonts w:ascii="Calibri" w:eastAsia="Times New Roman" w:hAnsi="Calibri" w:cs="Times New Roman"/>
      <w:lang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003DA"/>
    <w:pPr>
      <w:ind w:left="720"/>
      <w:contextualSpacing/>
    </w:pPr>
  </w:style>
  <w:style w:type="paragraph" w:styleId="NormalWeb">
    <w:name w:val="Normal (Web)"/>
    <w:basedOn w:val="Normal"/>
    <w:link w:val="NormalWebChar"/>
    <w:uiPriority w:val="99"/>
    <w:unhideWhenUsed/>
    <w:rsid w:val="009003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basedOn w:val="DefaultParagraphFont"/>
    <w:link w:val="NormalWeb"/>
    <w:uiPriority w:val="99"/>
    <w:rsid w:val="009003DA"/>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6B50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7787706">
      <w:bodyDiv w:val="1"/>
      <w:marLeft w:val="0"/>
      <w:marRight w:val="0"/>
      <w:marTop w:val="0"/>
      <w:marBottom w:val="0"/>
      <w:divBdr>
        <w:top w:val="none" w:sz="0" w:space="0" w:color="auto"/>
        <w:left w:val="none" w:sz="0" w:space="0" w:color="auto"/>
        <w:bottom w:val="none" w:sz="0" w:space="0" w:color="auto"/>
        <w:right w:val="none" w:sz="0" w:space="0" w:color="auto"/>
      </w:divBdr>
    </w:div>
    <w:div w:id="802232245">
      <w:bodyDiv w:val="1"/>
      <w:marLeft w:val="0"/>
      <w:marRight w:val="0"/>
      <w:marTop w:val="0"/>
      <w:marBottom w:val="0"/>
      <w:divBdr>
        <w:top w:val="none" w:sz="0" w:space="0" w:color="auto"/>
        <w:left w:val="none" w:sz="0" w:space="0" w:color="auto"/>
        <w:bottom w:val="none" w:sz="0" w:space="0" w:color="auto"/>
        <w:right w:val="none" w:sz="0" w:space="0" w:color="auto"/>
      </w:divBdr>
    </w:div>
    <w:div w:id="1789011891">
      <w:bodyDiv w:val="1"/>
      <w:marLeft w:val="0"/>
      <w:marRight w:val="0"/>
      <w:marTop w:val="0"/>
      <w:marBottom w:val="0"/>
      <w:divBdr>
        <w:top w:val="none" w:sz="0" w:space="0" w:color="auto"/>
        <w:left w:val="none" w:sz="0" w:space="0" w:color="auto"/>
        <w:bottom w:val="none" w:sz="0" w:space="0" w:color="auto"/>
        <w:right w:val="none" w:sz="0" w:space="0" w:color="auto"/>
      </w:divBdr>
    </w:div>
    <w:div w:id="213844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ustomervoice.microsoft.com/Pages/ResponsePage.aspx?id=lYZBnaxxMUy1ssGWyOw8igrEAwHf35tMqgqo8JKxEDRURVFRREI4VU5RM1lRTlFKTFkwS1pSWDZSMy4u"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6460e4e-5c50-4d47-ad5d-ef18815bbf8a">
      <Terms xmlns="http://schemas.microsoft.com/office/infopath/2007/PartnerControls"/>
    </lcf76f155ced4ddcb4097134ff3c332f>
    <TaxCatchAll xmlns="b53ff9b0-46b6-419a-a29b-4d14cb533863" xsi:nil="true"/>
    <SharedWithUsers xmlns="b53ff9b0-46b6-419a-a29b-4d14cb533863">
      <UserInfo>
        <DisplayName>Tracy Cooper</DisplayName>
        <AccountId>104</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234236ECDD2C54AB331458E71B7951F" ma:contentTypeVersion="17" ma:contentTypeDescription="Create a new document." ma:contentTypeScope="" ma:versionID="b725bc6e440fa98c5c3f95a98f445d70">
  <xsd:schema xmlns:xsd="http://www.w3.org/2001/XMLSchema" xmlns:xs="http://www.w3.org/2001/XMLSchema" xmlns:p="http://schemas.microsoft.com/office/2006/metadata/properties" xmlns:ns2="96460e4e-5c50-4d47-ad5d-ef18815bbf8a" xmlns:ns3="b53ff9b0-46b6-419a-a29b-4d14cb533863" targetNamespace="http://schemas.microsoft.com/office/2006/metadata/properties" ma:root="true" ma:fieldsID="cebb0f2021226d6d078ede2157634770" ns2:_="" ns3:_="">
    <xsd:import namespace="96460e4e-5c50-4d47-ad5d-ef18815bbf8a"/>
    <xsd:import namespace="b53ff9b0-46b6-419a-a29b-4d14cb53386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460e4e-5c50-4d47-ad5d-ef18815bbf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3ff9b0-46b6-419a-a29b-4d14cb53386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38aadf19-3cf6-4428-b895-c0a771a12c6e}" ma:internalName="TaxCatchAll" ma:showField="CatchAllData" ma:web="b53ff9b0-46b6-419a-a29b-4d14cb5338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27D6A3-FE8D-4B73-AC37-E7552044A779}">
  <ds:schemaRefs>
    <ds:schemaRef ds:uri="http://schemas.microsoft.com/sharepoint/v3/contenttype/forms"/>
  </ds:schemaRefs>
</ds:datastoreItem>
</file>

<file path=customXml/itemProps2.xml><?xml version="1.0" encoding="utf-8"?>
<ds:datastoreItem xmlns:ds="http://schemas.openxmlformats.org/officeDocument/2006/customXml" ds:itemID="{5A453CFE-A73C-46BD-A6EB-4185CC5BFD6B}">
  <ds:schemaRefs>
    <ds:schemaRef ds:uri="http://schemas.microsoft.com/office/2006/documentManagement/types"/>
    <ds:schemaRef ds:uri="http://schemas.openxmlformats.org/package/2006/metadata/core-properties"/>
    <ds:schemaRef ds:uri="http://schemas.microsoft.com/office/2006/metadata/properties"/>
    <ds:schemaRef ds:uri="b53ff9b0-46b6-419a-a29b-4d14cb533863"/>
    <ds:schemaRef ds:uri="http://purl.org/dc/dcmitype/"/>
    <ds:schemaRef ds:uri="http://www.w3.org/XML/1998/namespace"/>
    <ds:schemaRef ds:uri="http://purl.org/dc/elements/1.1/"/>
    <ds:schemaRef ds:uri="http://schemas.microsoft.com/office/infopath/2007/PartnerControls"/>
    <ds:schemaRef ds:uri="96460e4e-5c50-4d47-ad5d-ef18815bbf8a"/>
    <ds:schemaRef ds:uri="http://purl.org/dc/terms/"/>
  </ds:schemaRefs>
</ds:datastoreItem>
</file>

<file path=customXml/itemProps3.xml><?xml version="1.0" encoding="utf-8"?>
<ds:datastoreItem xmlns:ds="http://schemas.openxmlformats.org/officeDocument/2006/customXml" ds:itemID="{1440AEE7-972E-44CC-BA6F-0D7158AD22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460e4e-5c50-4d47-ad5d-ef18815bbf8a"/>
    <ds:schemaRef ds:uri="b53ff9b0-46b6-419a-a29b-4d14cb5338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0B86A2-8383-4CD4-8D4D-788A47DB8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2801</Words>
  <Characters>15971</Characters>
  <Application>Microsoft Office Word</Application>
  <DocSecurity>0</DocSecurity>
  <Lines>133</Lines>
  <Paragraphs>37</Paragraphs>
  <ScaleCrop>false</ScaleCrop>
  <Company>UT Southwestern Medical Center</Company>
  <LinksUpToDate>false</LinksUpToDate>
  <CharactersWithSpaces>18735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Anju Varghese</dc:creator>
  <cp:lastModifiedBy>Jakub Furmaga</cp:lastModifiedBy>
  <cp:revision>10</cp:revision>
  <cp:lastPrinted>2016-09-30T18:49:00Z</cp:lastPrinted>
  <dcterms:created xsi:type="dcterms:W3CDTF">2023-11-29T20:35:00Z</dcterms:created>
  <dcterms:modified xsi:type="dcterms:W3CDTF">2025-08-26T20:56:00Z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0x010100A234236ECDD2C54AB331458E71B7951F</vt:lpwstr>
  </property>
  <property fmtid="{D5CDD505-2E9C-101B-9397-08002B2CF9AE}" pid="3" name="MediaServiceImageTags">
    <vt:lpwstr/>
  </property>
</Properties>
</file>