
<file path=[Content_Types].xml><?xml version="1.0" encoding="utf-8"?>
<Types xmlns="http://schemas.openxmlformats.org/package/2006/content-types">
  <Default Extension="xml" ContentType="application/xml"/>
  <Override PartName="/word/fontTable.xml" ContentType="application/vnd.openxmlformats-officedocument.wordprocessingml.fontTable+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webSettings.xml" ContentType="application/vnd.openxmlformats-officedocument.wordprocessingml.webSettings+xml"/>
  <Override PartName="/word/theme/theme1.xml" ContentType="application/vnd.openxmlformats-officedocument.theme+xml"/>
  <Override PartName="/docProps/core.xml" ContentType="application/vnd.openxmlformats-package.core-properties+xml"/>
  <Default Extension="rels" ContentType="application/vnd.openxmlformats-package.relationships+xml"/>
  <Override PartName="/word/settings.xml" ContentType="application/vnd.openxmlformats-officedocument.wordprocessingml.setting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143E5" w:rsidRDefault="00833C65">
      <w:pPr>
        <w:pStyle w:val="Title"/>
        <w:rPr>
          <w:sz w:val="22"/>
        </w:rPr>
      </w:pPr>
      <w:r>
        <w:rPr>
          <w:sz w:val="22"/>
        </w:rPr>
        <w:t>WHOLE ANIMAL FIXATION VIA TRANSCARDIAL PERFUSION</w:t>
      </w:r>
    </w:p>
    <w:p w:rsidR="009143E5" w:rsidRDefault="009143E5">
      <w:pPr>
        <w:rPr>
          <w:sz w:val="22"/>
        </w:rPr>
      </w:pPr>
    </w:p>
    <w:p w:rsidR="009143E5" w:rsidRDefault="009143E5">
      <w:pPr>
        <w:rPr>
          <w:sz w:val="22"/>
        </w:rPr>
      </w:pPr>
    </w:p>
    <w:p w:rsidR="009143E5" w:rsidRDefault="00833C65">
      <w:pPr>
        <w:rPr>
          <w:sz w:val="22"/>
        </w:rPr>
      </w:pPr>
      <w:r>
        <w:rPr>
          <w:b/>
          <w:sz w:val="22"/>
        </w:rPr>
        <w:t>Reagents:</w:t>
      </w:r>
    </w:p>
    <w:p w:rsidR="009143E5" w:rsidRDefault="009143E5">
      <w:pPr>
        <w:rPr>
          <w:sz w:val="22"/>
        </w:rPr>
      </w:pPr>
    </w:p>
    <w:p w:rsidR="009143E5" w:rsidRDefault="00833C65">
      <w:pPr>
        <w:rPr>
          <w:sz w:val="22"/>
        </w:rPr>
      </w:pPr>
      <w:r>
        <w:rPr>
          <w:sz w:val="22"/>
          <w:u w:val="single"/>
        </w:rPr>
        <w:t>Phosphate Buffered Saline (PBS)</w:t>
      </w:r>
    </w:p>
    <w:p w:rsidR="009143E5" w:rsidRDefault="00833C65">
      <w:pPr>
        <w:rPr>
          <w:sz w:val="22"/>
        </w:rPr>
      </w:pPr>
      <w:r>
        <w:rPr>
          <w:sz w:val="22"/>
        </w:rPr>
        <w:t>0.13M</w:t>
      </w:r>
      <w:r>
        <w:rPr>
          <w:sz w:val="22"/>
        </w:rPr>
        <w:tab/>
      </w:r>
      <w:r>
        <w:rPr>
          <w:sz w:val="22"/>
        </w:rPr>
        <w:tab/>
        <w:t>NaCl</w:t>
      </w:r>
      <w:r>
        <w:rPr>
          <w:sz w:val="22"/>
        </w:rPr>
        <w:tab/>
        <w:t>(Sigma S9625)</w:t>
      </w:r>
      <w:r>
        <w:rPr>
          <w:sz w:val="22"/>
        </w:rPr>
        <w:tab/>
      </w:r>
      <w:r>
        <w:rPr>
          <w:sz w:val="22"/>
        </w:rPr>
        <w:tab/>
      </w:r>
      <w:r>
        <w:rPr>
          <w:sz w:val="22"/>
        </w:rPr>
        <w:tab/>
      </w:r>
      <w:r>
        <w:rPr>
          <w:sz w:val="22"/>
        </w:rPr>
        <w:tab/>
        <w:t>8 grams per liter</w:t>
      </w:r>
    </w:p>
    <w:p w:rsidR="009143E5" w:rsidRDefault="00833C65">
      <w:pPr>
        <w:rPr>
          <w:sz w:val="22"/>
        </w:rPr>
      </w:pPr>
      <w:r>
        <w:rPr>
          <w:sz w:val="22"/>
        </w:rPr>
        <w:t>0.0027M</w:t>
      </w:r>
      <w:r>
        <w:rPr>
          <w:sz w:val="22"/>
        </w:rPr>
        <w:tab/>
        <w:t>KCl</w:t>
      </w:r>
      <w:r>
        <w:rPr>
          <w:sz w:val="22"/>
        </w:rPr>
        <w:tab/>
        <w:t>(Sigma P3911)</w:t>
      </w:r>
      <w:r>
        <w:rPr>
          <w:sz w:val="22"/>
        </w:rPr>
        <w:tab/>
      </w:r>
      <w:r>
        <w:rPr>
          <w:sz w:val="22"/>
        </w:rPr>
        <w:tab/>
      </w:r>
      <w:r>
        <w:rPr>
          <w:sz w:val="22"/>
        </w:rPr>
        <w:tab/>
      </w:r>
      <w:r>
        <w:rPr>
          <w:sz w:val="22"/>
        </w:rPr>
        <w:tab/>
        <w:t>0.2 grams per liter</w:t>
      </w:r>
    </w:p>
    <w:p w:rsidR="009143E5" w:rsidRDefault="00833C65">
      <w:pPr>
        <w:rPr>
          <w:sz w:val="22"/>
        </w:rPr>
      </w:pPr>
      <w:r>
        <w:rPr>
          <w:sz w:val="22"/>
        </w:rPr>
        <w:t>0.01M</w:t>
      </w:r>
      <w:r>
        <w:rPr>
          <w:sz w:val="22"/>
        </w:rPr>
        <w:tab/>
      </w:r>
      <w:r>
        <w:rPr>
          <w:sz w:val="22"/>
        </w:rPr>
        <w:tab/>
        <w:t>Na</w:t>
      </w:r>
      <w:r>
        <w:rPr>
          <w:position w:val="-4"/>
          <w:sz w:val="22"/>
        </w:rPr>
        <w:t>2</w:t>
      </w:r>
      <w:r>
        <w:rPr>
          <w:sz w:val="22"/>
        </w:rPr>
        <w:t>HPO</w:t>
      </w:r>
      <w:r>
        <w:rPr>
          <w:position w:val="-4"/>
          <w:sz w:val="22"/>
        </w:rPr>
        <w:t>4 (Sigma S0876)</w:t>
      </w:r>
      <w:r>
        <w:rPr>
          <w:position w:val="-4"/>
          <w:sz w:val="22"/>
        </w:rPr>
        <w:tab/>
      </w:r>
      <w:r>
        <w:rPr>
          <w:position w:val="-4"/>
          <w:sz w:val="22"/>
        </w:rPr>
        <w:tab/>
      </w:r>
      <w:r>
        <w:rPr>
          <w:position w:val="-4"/>
          <w:sz w:val="22"/>
        </w:rPr>
        <w:tab/>
      </w:r>
      <w:r>
        <w:rPr>
          <w:sz w:val="22"/>
        </w:rPr>
        <w:t>1.44 grams per liter</w:t>
      </w:r>
    </w:p>
    <w:p w:rsidR="009143E5" w:rsidRDefault="00833C65">
      <w:pPr>
        <w:rPr>
          <w:sz w:val="22"/>
        </w:rPr>
      </w:pPr>
      <w:r>
        <w:rPr>
          <w:sz w:val="22"/>
        </w:rPr>
        <w:t>0.0018M</w:t>
      </w:r>
      <w:r>
        <w:rPr>
          <w:sz w:val="22"/>
        </w:rPr>
        <w:tab/>
        <w:t>KH</w:t>
      </w:r>
      <w:r>
        <w:rPr>
          <w:position w:val="-4"/>
          <w:sz w:val="22"/>
        </w:rPr>
        <w:t>2</w:t>
      </w:r>
      <w:r>
        <w:rPr>
          <w:sz w:val="22"/>
        </w:rPr>
        <w:t>PO</w:t>
      </w:r>
      <w:r>
        <w:rPr>
          <w:position w:val="-4"/>
          <w:sz w:val="22"/>
        </w:rPr>
        <w:t>4 (Sigma P0662)</w:t>
      </w:r>
      <w:r>
        <w:rPr>
          <w:position w:val="-4"/>
          <w:sz w:val="22"/>
        </w:rPr>
        <w:tab/>
      </w:r>
      <w:r>
        <w:rPr>
          <w:position w:val="-4"/>
          <w:sz w:val="22"/>
        </w:rPr>
        <w:tab/>
      </w:r>
      <w:r>
        <w:rPr>
          <w:position w:val="-4"/>
          <w:sz w:val="22"/>
        </w:rPr>
        <w:tab/>
      </w:r>
      <w:r>
        <w:rPr>
          <w:sz w:val="22"/>
        </w:rPr>
        <w:t>0.24 grams per liter</w:t>
      </w:r>
    </w:p>
    <w:p w:rsidR="009143E5" w:rsidRDefault="00833C65">
      <w:pPr>
        <w:ind w:left="720" w:firstLine="720"/>
        <w:rPr>
          <w:sz w:val="22"/>
        </w:rPr>
      </w:pPr>
      <w:r>
        <w:rPr>
          <w:sz w:val="22"/>
        </w:rPr>
        <w:t>H</w:t>
      </w:r>
      <w:r>
        <w:rPr>
          <w:position w:val="-4"/>
          <w:sz w:val="22"/>
        </w:rPr>
        <w:t>2</w:t>
      </w:r>
      <w:r>
        <w:rPr>
          <w:sz w:val="22"/>
        </w:rPr>
        <w:t>O (DEPC- H</w:t>
      </w:r>
      <w:r w:rsidRPr="005D5596">
        <w:rPr>
          <w:sz w:val="22"/>
          <w:vertAlign w:val="subscript"/>
        </w:rPr>
        <w:t>2</w:t>
      </w:r>
      <w:r>
        <w:rPr>
          <w:sz w:val="22"/>
        </w:rPr>
        <w:t>O if for RNA in-situ)</w:t>
      </w:r>
      <w:r w:rsidR="005D5596">
        <w:rPr>
          <w:sz w:val="22"/>
        </w:rPr>
        <w:tab/>
      </w:r>
      <w:r>
        <w:rPr>
          <w:sz w:val="22"/>
        </w:rPr>
        <w:tab/>
        <w:t xml:space="preserve">900ml </w:t>
      </w:r>
    </w:p>
    <w:p w:rsidR="009143E5" w:rsidRDefault="00833C65">
      <w:pPr>
        <w:rPr>
          <w:sz w:val="22"/>
        </w:rPr>
      </w:pPr>
      <w:r>
        <w:rPr>
          <w:sz w:val="22"/>
        </w:rPr>
        <w:t>pH to 7.4 with HCl and NaOH</w:t>
      </w:r>
    </w:p>
    <w:p w:rsidR="009143E5" w:rsidRDefault="00833C65">
      <w:pPr>
        <w:rPr>
          <w:sz w:val="22"/>
        </w:rPr>
      </w:pPr>
      <w:r>
        <w:rPr>
          <w:sz w:val="22"/>
        </w:rPr>
        <w:t>QS to 1000ml</w:t>
      </w:r>
    </w:p>
    <w:p w:rsidR="009143E5" w:rsidRDefault="00833C65">
      <w:pPr>
        <w:rPr>
          <w:sz w:val="22"/>
        </w:rPr>
      </w:pPr>
      <w:r>
        <w:rPr>
          <w:sz w:val="22"/>
        </w:rPr>
        <w:t>Store at 4°C</w:t>
      </w:r>
    </w:p>
    <w:p w:rsidR="009143E5" w:rsidRDefault="009143E5">
      <w:pPr>
        <w:rPr>
          <w:sz w:val="22"/>
        </w:rPr>
      </w:pPr>
    </w:p>
    <w:p w:rsidR="009143E5" w:rsidRDefault="00833C65">
      <w:pPr>
        <w:pStyle w:val="Heading1"/>
        <w:rPr>
          <w:sz w:val="22"/>
        </w:rPr>
      </w:pPr>
      <w:r>
        <w:rPr>
          <w:sz w:val="22"/>
        </w:rPr>
        <w:t>Heparinized Normal Saline (Perfusant)</w:t>
      </w:r>
    </w:p>
    <w:p w:rsidR="009143E5" w:rsidRDefault="00833C65">
      <w:pPr>
        <w:rPr>
          <w:sz w:val="22"/>
        </w:rPr>
      </w:pPr>
      <w:r>
        <w:rPr>
          <w:sz w:val="22"/>
        </w:rPr>
        <w:t xml:space="preserve">0.9% NaCl in </w:t>
      </w:r>
      <w:r w:rsidR="005D5596">
        <w:rPr>
          <w:sz w:val="22"/>
        </w:rPr>
        <w:t>H</w:t>
      </w:r>
      <w:r w:rsidR="005D5596">
        <w:rPr>
          <w:position w:val="-4"/>
          <w:sz w:val="22"/>
        </w:rPr>
        <w:t>2</w:t>
      </w:r>
      <w:r w:rsidR="005D5596">
        <w:rPr>
          <w:sz w:val="22"/>
        </w:rPr>
        <w:t>O (DEPC- H</w:t>
      </w:r>
      <w:r w:rsidR="005D5596" w:rsidRPr="005D5596">
        <w:rPr>
          <w:sz w:val="22"/>
          <w:vertAlign w:val="subscript"/>
        </w:rPr>
        <w:t>2</w:t>
      </w:r>
      <w:r w:rsidR="005D5596">
        <w:rPr>
          <w:sz w:val="22"/>
        </w:rPr>
        <w:t>O if for RNA in-situ)</w:t>
      </w:r>
      <w:r w:rsidR="005D5596">
        <w:rPr>
          <w:sz w:val="22"/>
        </w:rPr>
        <w:tab/>
      </w:r>
    </w:p>
    <w:p w:rsidR="009143E5" w:rsidRDefault="00833C65">
      <w:pPr>
        <w:rPr>
          <w:sz w:val="22"/>
        </w:rPr>
      </w:pPr>
      <w:r>
        <w:rPr>
          <w:sz w:val="22"/>
        </w:rPr>
        <w:t>10 units Heparin per milliliter (Sigma H0777)</w:t>
      </w:r>
    </w:p>
    <w:p w:rsidR="009143E5" w:rsidRDefault="00833C65">
      <w:pPr>
        <w:rPr>
          <w:sz w:val="22"/>
        </w:rPr>
      </w:pPr>
      <w:r>
        <w:rPr>
          <w:sz w:val="22"/>
        </w:rPr>
        <w:t>Store at 4°C</w:t>
      </w:r>
    </w:p>
    <w:p w:rsidR="009143E5" w:rsidRDefault="009143E5">
      <w:pPr>
        <w:rPr>
          <w:sz w:val="22"/>
        </w:rPr>
      </w:pPr>
    </w:p>
    <w:p w:rsidR="009143E5" w:rsidRDefault="00833C65">
      <w:pPr>
        <w:pStyle w:val="Heading1"/>
        <w:rPr>
          <w:sz w:val="22"/>
        </w:rPr>
      </w:pPr>
      <w:r>
        <w:rPr>
          <w:sz w:val="22"/>
        </w:rPr>
        <w:t>Paraformaldehyde Fixative (Perfusant)</w:t>
      </w:r>
    </w:p>
    <w:p w:rsidR="009143E5" w:rsidRDefault="00833C65">
      <w:pPr>
        <w:rPr>
          <w:sz w:val="22"/>
        </w:rPr>
      </w:pPr>
      <w:r>
        <w:rPr>
          <w:sz w:val="22"/>
        </w:rPr>
        <w:t>4% Paraformaldehyde (Mallinckrodt 2621) in PBS, pH 7.4 final (DEPC-PBS if for RNA in-situ)</w:t>
      </w:r>
    </w:p>
    <w:p w:rsidR="009143E5" w:rsidRDefault="00833C65">
      <w:pPr>
        <w:rPr>
          <w:sz w:val="22"/>
        </w:rPr>
      </w:pPr>
      <w:r>
        <w:rPr>
          <w:sz w:val="22"/>
        </w:rPr>
        <w:t>The paraformaldehyde is dissolved in PBS with constant stirring and gradual pH titration to ~pH 11.5 to 11.75 using concentrated NaOH. Once dissolved, the pH is titrated to 7.4 using concentrated HCl. The fix solution is filtered and chilled, and stored for use no longer than one week at 4°C.</w:t>
      </w:r>
    </w:p>
    <w:p w:rsidR="009143E5" w:rsidRDefault="009143E5">
      <w:pPr>
        <w:rPr>
          <w:sz w:val="22"/>
        </w:rPr>
      </w:pPr>
    </w:p>
    <w:p w:rsidR="009143E5" w:rsidRDefault="00833C65">
      <w:pPr>
        <w:pStyle w:val="Heading1"/>
        <w:rPr>
          <w:sz w:val="22"/>
          <w:u w:val="none"/>
        </w:rPr>
      </w:pPr>
      <w:r>
        <w:rPr>
          <w:sz w:val="22"/>
        </w:rPr>
        <w:t>Intraperitoneal Anesthetic</w:t>
      </w:r>
    </w:p>
    <w:p w:rsidR="009143E5" w:rsidRDefault="00833C65">
      <w:pPr>
        <w:rPr>
          <w:sz w:val="22"/>
        </w:rPr>
      </w:pPr>
      <w:r>
        <w:rPr>
          <w:sz w:val="22"/>
        </w:rPr>
        <w:t>5% Sodium-Pentobarbital (Sigma P3761) in PBS, pH 7.4, filtered</w:t>
      </w:r>
    </w:p>
    <w:p w:rsidR="009143E5" w:rsidRDefault="00833C65">
      <w:pPr>
        <w:rPr>
          <w:sz w:val="22"/>
        </w:rPr>
      </w:pPr>
      <w:r>
        <w:rPr>
          <w:sz w:val="22"/>
        </w:rPr>
        <w:t>Store at Room Temperature</w:t>
      </w:r>
    </w:p>
    <w:p w:rsidR="009143E5" w:rsidRDefault="009143E5">
      <w:pPr>
        <w:rPr>
          <w:sz w:val="22"/>
        </w:rPr>
      </w:pPr>
    </w:p>
    <w:p w:rsidR="009143E5" w:rsidRDefault="00833C65">
      <w:pPr>
        <w:rPr>
          <w:sz w:val="22"/>
        </w:rPr>
      </w:pPr>
      <w:r>
        <w:rPr>
          <w:b/>
          <w:sz w:val="22"/>
        </w:rPr>
        <w:t>Supplies:</w:t>
      </w:r>
    </w:p>
    <w:p w:rsidR="009143E5" w:rsidRDefault="00833C65">
      <w:pPr>
        <w:rPr>
          <w:sz w:val="22"/>
        </w:rPr>
      </w:pPr>
      <w:r>
        <w:rPr>
          <w:sz w:val="22"/>
        </w:rPr>
        <w:t>Small Instrument or Dissection-Pan</w:t>
      </w:r>
    </w:p>
    <w:p w:rsidR="009143E5" w:rsidRDefault="00833C65">
      <w:pPr>
        <w:rPr>
          <w:sz w:val="22"/>
        </w:rPr>
      </w:pPr>
      <w:r>
        <w:rPr>
          <w:sz w:val="22"/>
        </w:rPr>
        <w:t>Plastic Test-Tube Rack</w:t>
      </w:r>
    </w:p>
    <w:p w:rsidR="009143E5" w:rsidRDefault="00833C65">
      <w:pPr>
        <w:rPr>
          <w:sz w:val="22"/>
        </w:rPr>
      </w:pPr>
      <w:r>
        <w:rPr>
          <w:sz w:val="22"/>
        </w:rPr>
        <w:t>Anesthesia-Syringe (1); 0.5cc or 1.0cc tuberculin</w:t>
      </w:r>
    </w:p>
    <w:p w:rsidR="009143E5" w:rsidRDefault="00833C65">
      <w:pPr>
        <w:rPr>
          <w:sz w:val="22"/>
        </w:rPr>
      </w:pPr>
      <w:r>
        <w:rPr>
          <w:sz w:val="22"/>
        </w:rPr>
        <w:t>Perfusion-Syringes (2); 10cc (mouse) or 30cc (rat)</w:t>
      </w:r>
    </w:p>
    <w:p w:rsidR="009143E5" w:rsidRDefault="00833C65">
      <w:pPr>
        <w:rPr>
          <w:sz w:val="22"/>
        </w:rPr>
      </w:pPr>
      <w:r>
        <w:rPr>
          <w:sz w:val="22"/>
        </w:rPr>
        <w:t>Automated Syringe-Pump</w:t>
      </w:r>
    </w:p>
    <w:p w:rsidR="009143E5" w:rsidRDefault="00833C65">
      <w:pPr>
        <w:rPr>
          <w:sz w:val="22"/>
        </w:rPr>
      </w:pPr>
      <w:r>
        <w:rPr>
          <w:sz w:val="22"/>
        </w:rPr>
        <w:t>100% Ethanol in a small squirt bottle</w:t>
      </w:r>
    </w:p>
    <w:p w:rsidR="009143E5" w:rsidRDefault="00833C65">
      <w:pPr>
        <w:rPr>
          <w:sz w:val="22"/>
        </w:rPr>
      </w:pPr>
      <w:r>
        <w:rPr>
          <w:sz w:val="22"/>
        </w:rPr>
        <w:t>Surgical or Dissection Instruments</w:t>
      </w:r>
    </w:p>
    <w:p w:rsidR="009143E5" w:rsidRDefault="00833C65">
      <w:pPr>
        <w:rPr>
          <w:sz w:val="22"/>
        </w:rPr>
      </w:pPr>
      <w:r>
        <w:rPr>
          <w:sz w:val="22"/>
        </w:rPr>
        <w:tab/>
        <w:t>Thumb Forceps; 120mm</w:t>
      </w:r>
    </w:p>
    <w:p w:rsidR="009143E5" w:rsidRDefault="00833C65">
      <w:pPr>
        <w:rPr>
          <w:sz w:val="22"/>
        </w:rPr>
      </w:pPr>
      <w:r>
        <w:rPr>
          <w:sz w:val="22"/>
        </w:rPr>
        <w:tab/>
        <w:t>Tissue Forceps; 115mm</w:t>
      </w:r>
    </w:p>
    <w:p w:rsidR="009143E5" w:rsidRDefault="00833C65">
      <w:pPr>
        <w:ind w:firstLine="720"/>
        <w:rPr>
          <w:sz w:val="22"/>
        </w:rPr>
      </w:pPr>
      <w:r>
        <w:rPr>
          <w:sz w:val="22"/>
        </w:rPr>
        <w:t>Iris Scissors; 115mm</w:t>
      </w:r>
    </w:p>
    <w:p w:rsidR="009143E5" w:rsidRDefault="00833C65">
      <w:pPr>
        <w:rPr>
          <w:sz w:val="22"/>
        </w:rPr>
      </w:pPr>
      <w:r>
        <w:rPr>
          <w:sz w:val="22"/>
        </w:rPr>
        <w:t>Paper Adhesive Tape</w:t>
      </w:r>
    </w:p>
    <w:p w:rsidR="009143E5" w:rsidRDefault="00833C65">
      <w:pPr>
        <w:rPr>
          <w:sz w:val="22"/>
        </w:rPr>
      </w:pPr>
      <w:r>
        <w:rPr>
          <w:sz w:val="22"/>
        </w:rPr>
        <w:t>Infant or Small Vein Infusion Set (25g); Kawasumi D12K1-25G</w:t>
      </w:r>
    </w:p>
    <w:p w:rsidR="009143E5" w:rsidRDefault="00833C65">
      <w:pPr>
        <w:rPr>
          <w:sz w:val="22"/>
        </w:rPr>
      </w:pPr>
      <w:r>
        <w:rPr>
          <w:sz w:val="22"/>
        </w:rPr>
        <w:t>Glass Scintillation-Vials containing 4% Paraformaldehyde/PBS, pH 7.4</w:t>
      </w:r>
    </w:p>
    <w:p w:rsidR="009143E5" w:rsidRDefault="009143E5">
      <w:pPr>
        <w:rPr>
          <w:sz w:val="22"/>
        </w:rPr>
      </w:pPr>
    </w:p>
    <w:p w:rsidR="009143E5" w:rsidRDefault="00833C65">
      <w:pPr>
        <w:pStyle w:val="Heading2"/>
        <w:rPr>
          <w:sz w:val="22"/>
        </w:rPr>
      </w:pPr>
      <w:r>
        <w:rPr>
          <w:sz w:val="22"/>
        </w:rPr>
        <w:t>Pump Set-Up</w:t>
      </w:r>
    </w:p>
    <w:p w:rsidR="009143E5" w:rsidRDefault="00833C65">
      <w:pPr>
        <w:rPr>
          <w:sz w:val="22"/>
        </w:rPr>
      </w:pPr>
      <w:r>
        <w:rPr>
          <w:sz w:val="22"/>
        </w:rPr>
        <w:t>Power and program the automated syringe-pump for syringe-type, delivery rate and delivery volume using the “select” and “arrow left/right” buttons according to the chart below:</w:t>
      </w:r>
    </w:p>
    <w:p w:rsidR="009143E5" w:rsidRDefault="009143E5">
      <w:pPr>
        <w:rPr>
          <w:sz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098"/>
        <w:gridCol w:w="4266"/>
        <w:gridCol w:w="2682"/>
        <w:gridCol w:w="2682"/>
      </w:tblGrid>
      <w:tr w:rsidR="009143E5">
        <w:tc>
          <w:tcPr>
            <w:tcW w:w="1098" w:type="dxa"/>
          </w:tcPr>
          <w:p w:rsidR="009143E5" w:rsidRDefault="00833C65">
            <w:pPr>
              <w:rPr>
                <w:b/>
                <w:sz w:val="22"/>
              </w:rPr>
            </w:pPr>
            <w:r>
              <w:rPr>
                <w:b/>
                <w:sz w:val="22"/>
              </w:rPr>
              <w:t>Species</w:t>
            </w:r>
          </w:p>
        </w:tc>
        <w:tc>
          <w:tcPr>
            <w:tcW w:w="4266" w:type="dxa"/>
          </w:tcPr>
          <w:p w:rsidR="009143E5" w:rsidRDefault="00833C65">
            <w:pPr>
              <w:rPr>
                <w:b/>
                <w:sz w:val="22"/>
              </w:rPr>
            </w:pPr>
            <w:r>
              <w:rPr>
                <w:b/>
                <w:sz w:val="22"/>
              </w:rPr>
              <w:t>Syringe Type</w:t>
            </w:r>
          </w:p>
        </w:tc>
        <w:tc>
          <w:tcPr>
            <w:tcW w:w="2682" w:type="dxa"/>
          </w:tcPr>
          <w:p w:rsidR="009143E5" w:rsidRDefault="00833C65">
            <w:pPr>
              <w:pStyle w:val="Heading3"/>
            </w:pPr>
            <w:r>
              <w:t>Delivery Volume</w:t>
            </w:r>
          </w:p>
        </w:tc>
        <w:tc>
          <w:tcPr>
            <w:tcW w:w="2682" w:type="dxa"/>
          </w:tcPr>
          <w:p w:rsidR="009143E5" w:rsidRDefault="00833C65">
            <w:pPr>
              <w:rPr>
                <w:b/>
                <w:sz w:val="22"/>
              </w:rPr>
            </w:pPr>
            <w:r>
              <w:rPr>
                <w:b/>
                <w:sz w:val="22"/>
              </w:rPr>
              <w:t>Delivery Rate</w:t>
            </w:r>
          </w:p>
        </w:tc>
      </w:tr>
      <w:tr w:rsidR="009143E5">
        <w:tc>
          <w:tcPr>
            <w:tcW w:w="1098" w:type="dxa"/>
          </w:tcPr>
          <w:p w:rsidR="009143E5" w:rsidRDefault="00833C65">
            <w:pPr>
              <w:rPr>
                <w:sz w:val="22"/>
              </w:rPr>
            </w:pPr>
            <w:r>
              <w:rPr>
                <w:sz w:val="22"/>
              </w:rPr>
              <w:t>Mouse</w:t>
            </w:r>
          </w:p>
        </w:tc>
        <w:tc>
          <w:tcPr>
            <w:tcW w:w="4266" w:type="dxa"/>
          </w:tcPr>
          <w:p w:rsidR="009143E5" w:rsidRDefault="00833C65">
            <w:pPr>
              <w:rPr>
                <w:sz w:val="22"/>
              </w:rPr>
            </w:pPr>
            <w:r>
              <w:rPr>
                <w:sz w:val="22"/>
              </w:rPr>
              <w:t>B-D Plastic, 10cc, 14.48mm</w:t>
            </w:r>
          </w:p>
        </w:tc>
        <w:tc>
          <w:tcPr>
            <w:tcW w:w="2682" w:type="dxa"/>
          </w:tcPr>
          <w:p w:rsidR="009143E5" w:rsidRDefault="00833C65">
            <w:pPr>
              <w:rPr>
                <w:sz w:val="22"/>
              </w:rPr>
            </w:pPr>
            <w:r>
              <w:rPr>
                <w:sz w:val="22"/>
              </w:rPr>
              <w:t>11ml</w:t>
            </w:r>
          </w:p>
        </w:tc>
        <w:tc>
          <w:tcPr>
            <w:tcW w:w="2682" w:type="dxa"/>
          </w:tcPr>
          <w:p w:rsidR="009143E5" w:rsidRDefault="00833C65">
            <w:pPr>
              <w:rPr>
                <w:sz w:val="22"/>
              </w:rPr>
            </w:pPr>
            <w:r>
              <w:rPr>
                <w:sz w:val="22"/>
              </w:rPr>
              <w:t>90ml/hr</w:t>
            </w:r>
          </w:p>
        </w:tc>
      </w:tr>
      <w:tr w:rsidR="009143E5">
        <w:tc>
          <w:tcPr>
            <w:tcW w:w="1098" w:type="dxa"/>
          </w:tcPr>
          <w:p w:rsidR="009143E5" w:rsidRDefault="00833C65">
            <w:pPr>
              <w:rPr>
                <w:sz w:val="22"/>
              </w:rPr>
            </w:pPr>
            <w:r>
              <w:rPr>
                <w:sz w:val="22"/>
              </w:rPr>
              <w:t>Rat</w:t>
            </w:r>
          </w:p>
        </w:tc>
        <w:tc>
          <w:tcPr>
            <w:tcW w:w="4266" w:type="dxa"/>
          </w:tcPr>
          <w:p w:rsidR="009143E5" w:rsidRDefault="00833C65">
            <w:pPr>
              <w:rPr>
                <w:sz w:val="22"/>
              </w:rPr>
            </w:pPr>
            <w:r>
              <w:rPr>
                <w:sz w:val="22"/>
              </w:rPr>
              <w:t>B-D Plastic, 30cc, 21.59mm</w:t>
            </w:r>
          </w:p>
        </w:tc>
        <w:tc>
          <w:tcPr>
            <w:tcW w:w="2682" w:type="dxa"/>
          </w:tcPr>
          <w:p w:rsidR="009143E5" w:rsidRDefault="00833C65">
            <w:pPr>
              <w:rPr>
                <w:sz w:val="22"/>
              </w:rPr>
            </w:pPr>
            <w:r>
              <w:rPr>
                <w:sz w:val="22"/>
              </w:rPr>
              <w:t>33ml</w:t>
            </w:r>
          </w:p>
        </w:tc>
        <w:tc>
          <w:tcPr>
            <w:tcW w:w="2682" w:type="dxa"/>
          </w:tcPr>
          <w:p w:rsidR="009143E5" w:rsidRDefault="00833C65">
            <w:pPr>
              <w:rPr>
                <w:sz w:val="22"/>
              </w:rPr>
            </w:pPr>
            <w:r>
              <w:rPr>
                <w:sz w:val="22"/>
              </w:rPr>
              <w:t>90ml/hr</w:t>
            </w:r>
          </w:p>
        </w:tc>
      </w:tr>
    </w:tbl>
    <w:p w:rsidR="009143E5" w:rsidRDefault="00833C65">
      <w:pPr>
        <w:rPr>
          <w:sz w:val="22"/>
        </w:rPr>
      </w:pPr>
      <w:r>
        <w:rPr>
          <w:sz w:val="22"/>
        </w:rPr>
        <w:br w:type="page"/>
      </w:r>
      <w:r>
        <w:rPr>
          <w:b/>
          <w:sz w:val="22"/>
        </w:rPr>
        <w:t>Procedure:</w:t>
      </w:r>
    </w:p>
    <w:p w:rsidR="009143E5" w:rsidRDefault="00833C65">
      <w:pPr>
        <w:numPr>
          <w:ilvl w:val="0"/>
          <w:numId w:val="1"/>
        </w:numPr>
        <w:tabs>
          <w:tab w:val="clear" w:pos="720"/>
          <w:tab w:val="num" w:pos="450"/>
        </w:tabs>
        <w:ind w:hanging="720"/>
        <w:rPr>
          <w:sz w:val="22"/>
        </w:rPr>
      </w:pPr>
      <w:r>
        <w:rPr>
          <w:sz w:val="22"/>
        </w:rPr>
        <w:t>Set up the automated syring-pump according to the Pump Set-Up section on the previous page.</w:t>
      </w:r>
    </w:p>
    <w:p w:rsidR="009143E5" w:rsidRDefault="00833C65">
      <w:pPr>
        <w:numPr>
          <w:ilvl w:val="0"/>
          <w:numId w:val="1"/>
        </w:numPr>
        <w:tabs>
          <w:tab w:val="clear" w:pos="720"/>
          <w:tab w:val="num" w:pos="450"/>
        </w:tabs>
        <w:ind w:hanging="720"/>
        <w:rPr>
          <w:sz w:val="22"/>
        </w:rPr>
      </w:pPr>
      <w:r>
        <w:rPr>
          <w:sz w:val="22"/>
        </w:rPr>
        <w:t>Label and fill the perfusion syringes to the hilt with each perfusant.</w:t>
      </w:r>
    </w:p>
    <w:p w:rsidR="009143E5" w:rsidRDefault="00833C65">
      <w:pPr>
        <w:numPr>
          <w:ilvl w:val="0"/>
          <w:numId w:val="1"/>
        </w:numPr>
        <w:tabs>
          <w:tab w:val="clear" w:pos="720"/>
          <w:tab w:val="num" w:pos="450"/>
        </w:tabs>
        <w:ind w:hanging="720"/>
        <w:rPr>
          <w:sz w:val="22"/>
        </w:rPr>
      </w:pPr>
      <w:r>
        <w:rPr>
          <w:sz w:val="22"/>
        </w:rPr>
        <w:t>Attach the infant infusion set to the heparinized-saline-syringe, prime it to expel air through the needle tip and lock the primed syringe into the syringe pump cradle.</w:t>
      </w:r>
    </w:p>
    <w:p w:rsidR="009143E5" w:rsidRDefault="00833C65">
      <w:pPr>
        <w:numPr>
          <w:ilvl w:val="0"/>
          <w:numId w:val="1"/>
        </w:numPr>
        <w:tabs>
          <w:tab w:val="clear" w:pos="720"/>
          <w:tab w:val="num" w:pos="450"/>
        </w:tabs>
        <w:ind w:hanging="720"/>
        <w:rPr>
          <w:sz w:val="22"/>
        </w:rPr>
      </w:pPr>
      <w:r>
        <w:rPr>
          <w:sz w:val="22"/>
        </w:rPr>
        <w:t>Fill the anesthesia-syringe with sufficient pentobarbital for all animals.</w:t>
      </w:r>
    </w:p>
    <w:p w:rsidR="009143E5" w:rsidRDefault="00833C65">
      <w:pPr>
        <w:numPr>
          <w:ilvl w:val="0"/>
          <w:numId w:val="1"/>
        </w:numPr>
        <w:tabs>
          <w:tab w:val="clear" w:pos="720"/>
          <w:tab w:val="num" w:pos="450"/>
        </w:tabs>
        <w:ind w:hanging="720"/>
        <w:rPr>
          <w:sz w:val="22"/>
        </w:rPr>
      </w:pPr>
      <w:r>
        <w:rPr>
          <w:sz w:val="22"/>
        </w:rPr>
        <w:t>Place the plastic test-tube rack upside-down in the instrument or dissection-pan.</w:t>
      </w:r>
    </w:p>
    <w:p w:rsidR="009143E5" w:rsidRDefault="00833C65">
      <w:pPr>
        <w:numPr>
          <w:ilvl w:val="0"/>
          <w:numId w:val="1"/>
        </w:numPr>
        <w:tabs>
          <w:tab w:val="clear" w:pos="720"/>
          <w:tab w:val="num" w:pos="450"/>
        </w:tabs>
        <w:ind w:hanging="720"/>
        <w:rPr>
          <w:sz w:val="22"/>
        </w:rPr>
      </w:pPr>
      <w:r>
        <w:rPr>
          <w:sz w:val="22"/>
        </w:rPr>
        <w:t>Administer anesthetic to one animal via intraperitoneal injection; 0.1cc for mouse, 0.4cc – 1.6cc for rat.</w:t>
      </w:r>
    </w:p>
    <w:p w:rsidR="009143E5" w:rsidRDefault="00833C65">
      <w:pPr>
        <w:numPr>
          <w:ilvl w:val="0"/>
          <w:numId w:val="1"/>
        </w:numPr>
        <w:tabs>
          <w:tab w:val="clear" w:pos="720"/>
          <w:tab w:val="num" w:pos="450"/>
        </w:tabs>
        <w:ind w:hanging="720"/>
        <w:rPr>
          <w:sz w:val="22"/>
        </w:rPr>
      </w:pPr>
      <w:r>
        <w:rPr>
          <w:sz w:val="22"/>
        </w:rPr>
        <w:t>Assess and assure surgical-plane anesthesia by toe pinch.</w:t>
      </w:r>
    </w:p>
    <w:p w:rsidR="009143E5" w:rsidRDefault="00833C65">
      <w:pPr>
        <w:numPr>
          <w:ilvl w:val="0"/>
          <w:numId w:val="1"/>
        </w:numPr>
        <w:tabs>
          <w:tab w:val="clear" w:pos="720"/>
          <w:tab w:val="num" w:pos="450"/>
        </w:tabs>
        <w:ind w:hanging="720"/>
        <w:rPr>
          <w:sz w:val="22"/>
        </w:rPr>
      </w:pPr>
      <w:r>
        <w:rPr>
          <w:sz w:val="22"/>
        </w:rPr>
        <w:t>Without delay upon reaching surgical plane, place the anesthetized animal on top of the inverted test-tube rack.</w:t>
      </w:r>
    </w:p>
    <w:p w:rsidR="009143E5" w:rsidRDefault="00833C65">
      <w:pPr>
        <w:numPr>
          <w:ilvl w:val="0"/>
          <w:numId w:val="1"/>
        </w:numPr>
        <w:tabs>
          <w:tab w:val="clear" w:pos="720"/>
          <w:tab w:val="num" w:pos="450"/>
        </w:tabs>
        <w:ind w:hanging="720"/>
        <w:rPr>
          <w:sz w:val="22"/>
        </w:rPr>
      </w:pPr>
      <w:r>
        <w:rPr>
          <w:sz w:val="22"/>
        </w:rPr>
        <w:t>Wet the fur of the ventral skin surface with 100% ethanol and wipe with gauze.</w:t>
      </w:r>
    </w:p>
    <w:p w:rsidR="009143E5" w:rsidRDefault="00833C65">
      <w:pPr>
        <w:numPr>
          <w:ilvl w:val="0"/>
          <w:numId w:val="1"/>
        </w:numPr>
        <w:tabs>
          <w:tab w:val="clear" w:pos="720"/>
          <w:tab w:val="num" w:pos="450"/>
        </w:tabs>
        <w:ind w:hanging="720"/>
        <w:rPr>
          <w:sz w:val="22"/>
        </w:rPr>
      </w:pPr>
      <w:r>
        <w:rPr>
          <w:sz w:val="22"/>
        </w:rPr>
        <w:t>Superficially cut the ventral skin with scissors, just below the zyphoid-process, being careful not to perforate the peritoneal membrane.</w:t>
      </w:r>
    </w:p>
    <w:p w:rsidR="009143E5" w:rsidRDefault="00833C65">
      <w:pPr>
        <w:numPr>
          <w:ilvl w:val="0"/>
          <w:numId w:val="1"/>
        </w:numPr>
        <w:tabs>
          <w:tab w:val="clear" w:pos="720"/>
          <w:tab w:val="num" w:pos="450"/>
        </w:tabs>
        <w:ind w:hanging="720"/>
        <w:rPr>
          <w:sz w:val="22"/>
        </w:rPr>
      </w:pPr>
      <w:r>
        <w:rPr>
          <w:sz w:val="22"/>
        </w:rPr>
        <w:t>Expand the ventral skin-opening by manually pulling the opposing skin segments rostrally and caudally.</w:t>
      </w:r>
    </w:p>
    <w:p w:rsidR="009143E5" w:rsidRDefault="00833C65">
      <w:pPr>
        <w:numPr>
          <w:ilvl w:val="0"/>
          <w:numId w:val="1"/>
        </w:numPr>
        <w:tabs>
          <w:tab w:val="clear" w:pos="720"/>
          <w:tab w:val="num" w:pos="450"/>
        </w:tabs>
        <w:ind w:hanging="720"/>
        <w:rPr>
          <w:sz w:val="22"/>
        </w:rPr>
      </w:pPr>
      <w:r>
        <w:rPr>
          <w:sz w:val="22"/>
        </w:rPr>
        <w:t>With the ventral skin pulled to expose the thoracic and peritoneal membrane surfaces, superficially cut the peritoneal membrane with scissors, just below the zyphoid-process and expose the diaphragm and visceral organs, being careful not to lacerate any significant vasculature.</w:t>
      </w:r>
    </w:p>
    <w:p w:rsidR="009143E5" w:rsidRDefault="00833C65">
      <w:pPr>
        <w:numPr>
          <w:ilvl w:val="0"/>
          <w:numId w:val="1"/>
        </w:numPr>
        <w:tabs>
          <w:tab w:val="clear" w:pos="720"/>
          <w:tab w:val="num" w:pos="450"/>
        </w:tabs>
        <w:ind w:hanging="720"/>
        <w:rPr>
          <w:sz w:val="22"/>
        </w:rPr>
      </w:pPr>
      <w:r>
        <w:rPr>
          <w:sz w:val="22"/>
        </w:rPr>
        <w:t>Performing a combination of blunt dissection and scissor-assisted dissection techniques, open the thoracic cavity by cutting the diaphragm from one lateral aspect to the other lateral aspect while avoiding cutting any visceral organs.</w:t>
      </w:r>
    </w:p>
    <w:p w:rsidR="009143E5" w:rsidRDefault="00833C65">
      <w:pPr>
        <w:numPr>
          <w:ilvl w:val="0"/>
          <w:numId w:val="1"/>
        </w:numPr>
        <w:tabs>
          <w:tab w:val="clear" w:pos="720"/>
          <w:tab w:val="num" w:pos="450"/>
        </w:tabs>
        <w:ind w:hanging="720"/>
        <w:rPr>
          <w:sz w:val="22"/>
        </w:rPr>
      </w:pPr>
      <w:r>
        <w:rPr>
          <w:sz w:val="22"/>
        </w:rPr>
        <w:t>Continuing with a combination of blunt dissection and scissor-assisted dissection, carefully cut both lateral aspects of the rib cage, in a caudal to rostral direction up to 2</w:t>
      </w:r>
      <w:r>
        <w:rPr>
          <w:sz w:val="22"/>
          <w:vertAlign w:val="superscript"/>
        </w:rPr>
        <w:t>nd</w:t>
      </w:r>
      <w:r>
        <w:rPr>
          <w:sz w:val="22"/>
        </w:rPr>
        <w:t xml:space="preserve"> rib, while avoiding lung, heart and mammary arteries.</w:t>
      </w:r>
    </w:p>
    <w:p w:rsidR="009143E5" w:rsidRDefault="00833C65">
      <w:pPr>
        <w:numPr>
          <w:ilvl w:val="0"/>
          <w:numId w:val="1"/>
        </w:numPr>
        <w:tabs>
          <w:tab w:val="clear" w:pos="720"/>
          <w:tab w:val="num" w:pos="450"/>
        </w:tabs>
        <w:ind w:hanging="720"/>
        <w:rPr>
          <w:sz w:val="22"/>
        </w:rPr>
      </w:pPr>
      <w:r>
        <w:rPr>
          <w:sz w:val="22"/>
        </w:rPr>
        <w:t>Fold-back or invert the ventral rib-cage surface to meet the ventral skin surface of the animal’s neck area and gently tape it into place to expose thoracic organs.</w:t>
      </w:r>
    </w:p>
    <w:p w:rsidR="009143E5" w:rsidRDefault="00833C65">
      <w:pPr>
        <w:numPr>
          <w:ilvl w:val="0"/>
          <w:numId w:val="1"/>
        </w:numPr>
        <w:tabs>
          <w:tab w:val="clear" w:pos="720"/>
          <w:tab w:val="num" w:pos="450"/>
        </w:tabs>
        <w:ind w:hanging="720"/>
        <w:rPr>
          <w:sz w:val="22"/>
        </w:rPr>
      </w:pPr>
      <w:r>
        <w:rPr>
          <w:sz w:val="22"/>
        </w:rPr>
        <w:t>Orient the dissection-pan so that the apex of heart resides at 6 o’clock and the aortic outflow resides at 12 o’clock.</w:t>
      </w:r>
    </w:p>
    <w:p w:rsidR="009143E5" w:rsidRDefault="00833C65">
      <w:pPr>
        <w:numPr>
          <w:ilvl w:val="0"/>
          <w:numId w:val="1"/>
        </w:numPr>
        <w:tabs>
          <w:tab w:val="clear" w:pos="720"/>
          <w:tab w:val="num" w:pos="450"/>
        </w:tabs>
        <w:ind w:hanging="720"/>
        <w:rPr>
          <w:sz w:val="22"/>
        </w:rPr>
      </w:pPr>
      <w:r>
        <w:rPr>
          <w:sz w:val="22"/>
        </w:rPr>
        <w:t>Using thumb forceps, gently grasp and hold the right ventricular free-wall and visualize the delineation of the darker, blood-filled-coloration of right ventricle and the redder, muscular-coloration of left ventricle.</w:t>
      </w:r>
    </w:p>
    <w:p w:rsidR="009143E5" w:rsidRDefault="00833C65">
      <w:pPr>
        <w:numPr>
          <w:ilvl w:val="0"/>
          <w:numId w:val="1"/>
        </w:numPr>
        <w:tabs>
          <w:tab w:val="clear" w:pos="720"/>
          <w:tab w:val="num" w:pos="450"/>
        </w:tabs>
        <w:ind w:hanging="720"/>
        <w:rPr>
          <w:sz w:val="22"/>
        </w:rPr>
      </w:pPr>
      <w:r>
        <w:rPr>
          <w:sz w:val="22"/>
        </w:rPr>
        <w:t>Lacerate the right atrial-chamber with scissors and carefully (but quickly) insert the 25g needle of the infant infusion set attached to the heparinized-saline-syringe into the left ventricular chamber at the 5:30 position. The needle should be angled towards a 2 o’clock position.</w:t>
      </w:r>
    </w:p>
    <w:p w:rsidR="009143E5" w:rsidRDefault="00833C65">
      <w:pPr>
        <w:numPr>
          <w:ilvl w:val="0"/>
          <w:numId w:val="1"/>
        </w:numPr>
        <w:tabs>
          <w:tab w:val="clear" w:pos="720"/>
          <w:tab w:val="num" w:pos="450"/>
        </w:tabs>
        <w:ind w:hanging="720"/>
        <w:rPr>
          <w:sz w:val="22"/>
        </w:rPr>
      </w:pPr>
      <w:r>
        <w:rPr>
          <w:sz w:val="22"/>
        </w:rPr>
        <w:t>Release the forceps grasp of the right ventricular free-wall.</w:t>
      </w:r>
    </w:p>
    <w:p w:rsidR="009143E5" w:rsidRDefault="00833C65">
      <w:pPr>
        <w:numPr>
          <w:ilvl w:val="0"/>
          <w:numId w:val="1"/>
        </w:numPr>
        <w:tabs>
          <w:tab w:val="clear" w:pos="720"/>
          <w:tab w:val="num" w:pos="450"/>
        </w:tabs>
        <w:ind w:hanging="720"/>
        <w:rPr>
          <w:sz w:val="22"/>
        </w:rPr>
      </w:pPr>
      <w:r>
        <w:rPr>
          <w:sz w:val="22"/>
        </w:rPr>
        <w:t>Begin perfusion by depressing the “run-stop” button on the automated syringe-pump. Blood and heparinized saline effluent should flow from the right atria laceration and drip into the instrument or dissection pan. The pump should read out amount of perfusant dispensed.</w:t>
      </w:r>
    </w:p>
    <w:p w:rsidR="009143E5" w:rsidRDefault="00833C65">
      <w:pPr>
        <w:numPr>
          <w:ilvl w:val="0"/>
          <w:numId w:val="1"/>
        </w:numPr>
        <w:tabs>
          <w:tab w:val="clear" w:pos="720"/>
          <w:tab w:val="num" w:pos="450"/>
        </w:tabs>
        <w:ind w:hanging="720"/>
        <w:rPr>
          <w:sz w:val="22"/>
        </w:rPr>
      </w:pPr>
      <w:r>
        <w:rPr>
          <w:sz w:val="22"/>
        </w:rPr>
        <w:t>Visualize the heart and liver as perfusion commences. The right ventricular chamber should remain somewhat darkened in color when compared to the left ventricular chamber. The liver should begin to blanch as blood is replaced with heparinized-saline.</w:t>
      </w:r>
    </w:p>
    <w:p w:rsidR="009143E5" w:rsidRDefault="00833C65">
      <w:pPr>
        <w:numPr>
          <w:ilvl w:val="0"/>
          <w:numId w:val="1"/>
        </w:numPr>
        <w:tabs>
          <w:tab w:val="clear" w:pos="720"/>
          <w:tab w:val="num" w:pos="450"/>
        </w:tabs>
        <w:ind w:hanging="720"/>
        <w:rPr>
          <w:sz w:val="22"/>
        </w:rPr>
      </w:pPr>
      <w:r>
        <w:rPr>
          <w:sz w:val="22"/>
        </w:rPr>
        <w:t>At the completion of the saline perfusion, carefully change-out the syringes without dislodging the 25g infant infusion needle from the left ventricle.</w:t>
      </w:r>
    </w:p>
    <w:p w:rsidR="009143E5" w:rsidRDefault="00833C65">
      <w:pPr>
        <w:numPr>
          <w:ilvl w:val="0"/>
          <w:numId w:val="1"/>
        </w:numPr>
        <w:tabs>
          <w:tab w:val="clear" w:pos="720"/>
          <w:tab w:val="num" w:pos="450"/>
        </w:tabs>
        <w:ind w:hanging="720"/>
        <w:rPr>
          <w:sz w:val="22"/>
        </w:rPr>
      </w:pPr>
      <w:r>
        <w:rPr>
          <w:sz w:val="22"/>
        </w:rPr>
        <w:t>Reset the syringe-pump and reinitiate perfusion with 4% paraformaldehyde/PBS syringe, by depressing the “run-stop” button on the automated syringe-pump.</w:t>
      </w:r>
    </w:p>
    <w:p w:rsidR="009143E5" w:rsidRDefault="00833C65">
      <w:pPr>
        <w:numPr>
          <w:ilvl w:val="0"/>
          <w:numId w:val="1"/>
        </w:numPr>
        <w:tabs>
          <w:tab w:val="clear" w:pos="720"/>
          <w:tab w:val="num" w:pos="450"/>
        </w:tabs>
        <w:ind w:hanging="720"/>
        <w:rPr>
          <w:sz w:val="22"/>
        </w:rPr>
      </w:pPr>
      <w:r>
        <w:rPr>
          <w:sz w:val="22"/>
        </w:rPr>
        <w:t>Visualize the animal’s extremities for evidence of tremors resulting from the aldehyde-crosslinking of nerves and muscle.</w:t>
      </w:r>
    </w:p>
    <w:p w:rsidR="009143E5" w:rsidRDefault="00833C65">
      <w:pPr>
        <w:numPr>
          <w:ilvl w:val="0"/>
          <w:numId w:val="1"/>
        </w:numPr>
        <w:tabs>
          <w:tab w:val="clear" w:pos="720"/>
          <w:tab w:val="num" w:pos="450"/>
        </w:tabs>
        <w:ind w:hanging="720"/>
        <w:rPr>
          <w:sz w:val="22"/>
        </w:rPr>
      </w:pPr>
      <w:r>
        <w:rPr>
          <w:sz w:val="22"/>
        </w:rPr>
        <w:t>At the completion of the paraformaldehyde perfusion, remove the 25g infant infusion needle from the left ventricle and begin dissection of needed tissues. If further perfusions are to be performed, the infant infusion catheter and needle must be reprimed (flushed) with heparinized saline.</w:t>
      </w:r>
    </w:p>
    <w:p w:rsidR="009143E5" w:rsidRDefault="00833C65">
      <w:pPr>
        <w:numPr>
          <w:ilvl w:val="0"/>
          <w:numId w:val="1"/>
        </w:numPr>
        <w:tabs>
          <w:tab w:val="clear" w:pos="720"/>
          <w:tab w:val="num" w:pos="450"/>
        </w:tabs>
        <w:ind w:hanging="720"/>
        <w:rPr>
          <w:sz w:val="22"/>
        </w:rPr>
      </w:pPr>
      <w:r>
        <w:rPr>
          <w:sz w:val="22"/>
        </w:rPr>
        <w:t>All collected tissues are then grossly trimmed and immersed in 4% paraformaldehyde/PBS filled glass scintillation vials. Fixation is continued by immersion with agitation, and is carried out at 4°C for 10-16 hours.</w:t>
      </w:r>
    </w:p>
    <w:p w:rsidR="009143E5" w:rsidRDefault="00833C65">
      <w:pPr>
        <w:numPr>
          <w:ilvl w:val="0"/>
          <w:numId w:val="1"/>
        </w:numPr>
        <w:tabs>
          <w:tab w:val="clear" w:pos="720"/>
          <w:tab w:val="num" w:pos="450"/>
        </w:tabs>
        <w:ind w:hanging="720"/>
        <w:rPr>
          <w:sz w:val="22"/>
        </w:rPr>
      </w:pPr>
      <w:r>
        <w:rPr>
          <w:sz w:val="22"/>
        </w:rPr>
        <w:t>At the conclusion of fixation, fixative from the vials of tissues for immunohistochemistry or in-situ hybridization are decanted and replaced with PBS (DEPC-PBS for RNA in-situ) and paraffin processed as soon as possible.</w:t>
      </w:r>
    </w:p>
    <w:sectPr w:rsidR="009143E5" w:rsidSect="009143E5">
      <w:pgSz w:w="12240" w:h="15840"/>
      <w:pgMar w:top="864" w:right="864" w:bottom="864" w:left="864" w:gutter="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auto"/>
    <w:pitch w:val="variable"/>
    <w:sig w:usb0="00000003" w:usb1="00000000" w:usb2="00000000" w:usb3="00000000" w:csb0="00000001" w:csb1="00000000"/>
  </w:font>
  <w:font w:name="Times">
    <w:panose1 w:val="02000500000000000000"/>
    <w:charset w:val="00"/>
    <w:family w:val="auto"/>
    <w:pitch w:val="variable"/>
    <w:sig w:usb0="00000003" w:usb1="00000000" w:usb2="00000000" w:usb3="00000000" w:csb0="00000001" w:csb1="00000000"/>
  </w:font>
  <w:font w:name="Palatino">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 w:name="Cambria">
    <w:panose1 w:val="02040503050406030204"/>
    <w:charset w:val="00"/>
    <w:family w:val="auto"/>
    <w:pitch w:val="variable"/>
    <w:sig w:usb0="00000003" w:usb1="00000000" w:usb2="00000000" w:usb3="00000000" w:csb0="00000001" w:csb1="00000000"/>
  </w:font>
</w:fonts>
</file>

<file path=word/numbering.xml><?xml version="1.0" encoding="utf-8"?>
<w:numbering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9153CFE"/>
    <w:multiLevelType w:val="hybridMultilevel"/>
    <w:tmpl w:val="55BEDA9A"/>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oNotTrackMoves/>
  <w:defaultTabStop w:val="720"/>
  <w:displayHorizontalDrawingGridEvery w:val="0"/>
  <w:displayVerticalDrawingGridEvery w:val="0"/>
  <w:doNotUseMarginsForDrawingGridOrigin/>
  <w:noPunctuationKerning/>
  <w:characterSpacingControl w:val="doNotCompress"/>
  <w:doNotValidateAgainstSchema/>
  <w:doNotDemarcateInvalidXml/>
  <w:compat/>
  <w:rsids>
    <w:rsidRoot w:val="005D5596"/>
    <w:rsid w:val="005D5596"/>
    <w:rsid w:val="00833C65"/>
    <w:rsid w:val="008B130B"/>
    <w:rsid w:val="009143E5"/>
  </w:rsids>
  <m:mathPr>
    <m:mathFont m:val="Palatino"/>
    <m:brkBin m:val="before"/>
    <m:brkBinSub m:val="--"/>
    <m:smallFrac m:val="off"/>
    <m:dispDef m:val="off"/>
    <m:lMargin m:val="0"/>
    <m:rMargin m:val="0"/>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w:eastAsia="Times" w:hAnsi="Times" w:cs="Times New Roman"/>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143E5"/>
    <w:rPr>
      <w:rFonts w:ascii="Palatino" w:hAnsi="Palatino"/>
      <w:sz w:val="24"/>
    </w:rPr>
  </w:style>
  <w:style w:type="paragraph" w:styleId="Heading1">
    <w:name w:val="heading 1"/>
    <w:basedOn w:val="Normal"/>
    <w:next w:val="Normal"/>
    <w:qFormat/>
    <w:rsid w:val="009143E5"/>
    <w:pPr>
      <w:keepNext/>
      <w:outlineLvl w:val="0"/>
    </w:pPr>
    <w:rPr>
      <w:u w:val="single"/>
    </w:rPr>
  </w:style>
  <w:style w:type="paragraph" w:styleId="Heading2">
    <w:name w:val="heading 2"/>
    <w:basedOn w:val="Normal"/>
    <w:next w:val="Normal"/>
    <w:qFormat/>
    <w:rsid w:val="009143E5"/>
    <w:pPr>
      <w:keepNext/>
      <w:outlineLvl w:val="1"/>
    </w:pPr>
    <w:rPr>
      <w:b/>
    </w:rPr>
  </w:style>
  <w:style w:type="paragraph" w:styleId="Heading3">
    <w:name w:val="heading 3"/>
    <w:basedOn w:val="Normal"/>
    <w:next w:val="Normal"/>
    <w:qFormat/>
    <w:rsid w:val="009143E5"/>
    <w:pPr>
      <w:keepNext/>
      <w:outlineLvl w:val="2"/>
    </w:pPr>
    <w:rPr>
      <w:b/>
      <w:sz w:val="22"/>
    </w:rPr>
  </w:style>
  <w:style w:type="character" w:default="1" w:styleId="DefaultParagraphFont">
    <w:name w:val="Default Paragraph Font"/>
    <w:semiHidden/>
    <w:unhideWhenUsed/>
  </w:style>
  <w:style w:type="table" w:default="1" w:styleId="TableNormal">
    <w:name w:val="Normal Table"/>
    <w:semiHidden/>
    <w:unhideWhenUsed/>
    <w:qFormat/>
    <w:tblPr>
      <w:tblInd w:w="0" w:type="dxa"/>
      <w:tblCellMar>
        <w:top w:w="0" w:type="dxa"/>
        <w:left w:w="108" w:type="dxa"/>
        <w:bottom w:w="0" w:type="dxa"/>
        <w:right w:w="108" w:type="dxa"/>
      </w:tblCellMar>
    </w:tblPr>
  </w:style>
  <w:style w:type="numbering" w:default="1" w:styleId="NoList">
    <w:name w:val="No List"/>
    <w:semiHidden/>
    <w:unhideWhenUsed/>
  </w:style>
  <w:style w:type="paragraph" w:styleId="Title">
    <w:name w:val="Title"/>
    <w:basedOn w:val="Normal"/>
    <w:qFormat/>
    <w:rsid w:val="009143E5"/>
    <w:pPr>
      <w:jc w:val="center"/>
    </w:pPr>
    <w:rPr>
      <w:b/>
    </w:rPr>
  </w:style>
</w:styles>
</file>

<file path=word/webSettings.xml><?xml version="1.0" encoding="utf-8"?>
<w:webSettings xmlns:r="http://schemas.openxmlformats.org/officeDocument/2006/relationships" xmlns:w="http://schemas.openxmlformats.org/wordprocessingml/2006/main">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905</Words>
  <Characters>5161</Characters>
  <Application>Microsoft Macintosh Word</Application>
  <DocSecurity>0</DocSecurity>
  <Lines>43</Lines>
  <Paragraphs>10</Paragraphs>
  <ScaleCrop>false</ScaleCrop>
  <HeadingPairs>
    <vt:vector size="2" baseType="variant">
      <vt:variant>
        <vt:lpstr>Title</vt:lpstr>
      </vt:variant>
      <vt:variant>
        <vt:i4>1</vt:i4>
      </vt:variant>
    </vt:vector>
  </HeadingPairs>
  <TitlesOfParts>
    <vt:vector size="1" baseType="lpstr">
      <vt:lpstr>WHOLE MOUSE FIXATION VIA TRANSCARDIAL PERFUSION</vt:lpstr>
    </vt:vector>
  </TitlesOfParts>
  <Company>UT Southwestern Medical Center</Company>
  <LinksUpToDate>false</LinksUpToDate>
  <CharactersWithSpaces>6338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WHOLE MOUSE FIXATION VIA TRANSCARDIAL PERFUSION</dc:title>
  <dc:subject/>
  <dc:creator>UTSW -IMC</dc:creator>
  <cp:keywords/>
  <cp:lastModifiedBy>UTSW -IMC</cp:lastModifiedBy>
  <cp:revision>2</cp:revision>
  <cp:lastPrinted>2003-10-16T12:00:00Z</cp:lastPrinted>
  <dcterms:created xsi:type="dcterms:W3CDTF">2013-05-05T18:25:00Z</dcterms:created>
  <dcterms:modified xsi:type="dcterms:W3CDTF">2013-05-05T18:25:00Z</dcterms:modified>
</cp:coreProperties>
</file>